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082" w:rsidRPr="00754082" w:rsidRDefault="00754082" w:rsidP="00DC6852">
      <w:pPr>
        <w:jc w:val="center"/>
        <w:rPr>
          <w:rFonts w:asciiTheme="majorHAnsi" w:hAnsiTheme="majorHAnsi"/>
          <w:b/>
          <w:color w:val="000000" w:themeColor="text1"/>
        </w:rPr>
      </w:pPr>
      <w:r w:rsidRPr="00754082">
        <w:rPr>
          <w:rFonts w:asciiTheme="majorHAnsi" w:hAnsiTheme="majorHAnsi"/>
          <w:b/>
          <w:color w:val="000000" w:themeColor="text1"/>
        </w:rPr>
        <w:t>PRESS RELEASE</w:t>
      </w:r>
    </w:p>
    <w:p w:rsidR="00D72086" w:rsidRDefault="00D72086" w:rsidP="00DC6852">
      <w:pPr>
        <w:jc w:val="center"/>
        <w:rPr>
          <w:rFonts w:asciiTheme="majorHAnsi" w:hAnsiTheme="majorHAnsi"/>
        </w:rPr>
      </w:pPr>
    </w:p>
    <w:p w:rsidR="00DC6852" w:rsidRPr="00D72086" w:rsidRDefault="004F171D" w:rsidP="00DC6852">
      <w:pPr>
        <w:jc w:val="center"/>
        <w:rPr>
          <w:rFonts w:asciiTheme="majorHAnsi" w:hAnsiTheme="majorHAnsi"/>
          <w:color w:val="FF0000"/>
        </w:rPr>
      </w:pPr>
      <w:r w:rsidRPr="00D72086">
        <w:rPr>
          <w:rFonts w:asciiTheme="majorHAnsi" w:hAnsiTheme="majorHAnsi"/>
          <w:color w:val="FF0000"/>
        </w:rPr>
        <w:t xml:space="preserve">UNDER EMBARGO UNTIL </w:t>
      </w:r>
      <w:r w:rsidR="0050005C" w:rsidRPr="00D72086">
        <w:rPr>
          <w:rFonts w:asciiTheme="majorHAnsi" w:hAnsiTheme="majorHAnsi"/>
          <w:color w:val="FF0000"/>
        </w:rPr>
        <w:t xml:space="preserve">15 </w:t>
      </w:r>
      <w:r w:rsidR="00754082" w:rsidRPr="00D72086">
        <w:rPr>
          <w:rFonts w:asciiTheme="majorHAnsi" w:hAnsiTheme="majorHAnsi"/>
          <w:color w:val="FF0000"/>
        </w:rPr>
        <w:t>AUGUST, 00</w:t>
      </w:r>
      <w:r w:rsidR="001C7F53" w:rsidRPr="00D72086">
        <w:rPr>
          <w:rFonts w:asciiTheme="majorHAnsi" w:hAnsiTheme="majorHAnsi"/>
          <w:color w:val="FF0000"/>
        </w:rPr>
        <w:t>.</w:t>
      </w:r>
      <w:r w:rsidR="00754082" w:rsidRPr="00D72086">
        <w:rPr>
          <w:rFonts w:asciiTheme="majorHAnsi" w:hAnsiTheme="majorHAnsi"/>
          <w:color w:val="FF0000"/>
        </w:rPr>
        <w:t>01 BST</w:t>
      </w:r>
    </w:p>
    <w:p w:rsidR="00DC6852" w:rsidRPr="00833C00" w:rsidRDefault="00DC6852">
      <w:pPr>
        <w:rPr>
          <w:rFonts w:asciiTheme="majorHAnsi" w:hAnsiTheme="majorHAnsi"/>
        </w:rPr>
      </w:pPr>
    </w:p>
    <w:p w:rsidR="004A543C" w:rsidRPr="00C12F5A" w:rsidRDefault="00421F04" w:rsidP="00C12F5A">
      <w:pPr>
        <w:jc w:val="center"/>
        <w:rPr>
          <w:rFonts w:asciiTheme="majorHAnsi" w:hAnsiTheme="majorHAnsi"/>
          <w:b/>
          <w:sz w:val="28"/>
          <w:szCs w:val="28"/>
        </w:rPr>
      </w:pPr>
      <w:r>
        <w:rPr>
          <w:rFonts w:asciiTheme="majorHAnsi" w:hAnsiTheme="majorHAnsi"/>
          <w:b/>
          <w:sz w:val="28"/>
          <w:szCs w:val="28"/>
        </w:rPr>
        <w:t>Top 20 high-</w:t>
      </w:r>
      <w:r w:rsidR="0050005C">
        <w:rPr>
          <w:rFonts w:asciiTheme="majorHAnsi" w:hAnsiTheme="majorHAnsi"/>
          <w:b/>
          <w:sz w:val="28"/>
          <w:szCs w:val="28"/>
        </w:rPr>
        <w:t xml:space="preserve">cost oil </w:t>
      </w:r>
      <w:r w:rsidR="0024097E">
        <w:rPr>
          <w:rFonts w:asciiTheme="majorHAnsi" w:hAnsiTheme="majorHAnsi"/>
          <w:b/>
          <w:sz w:val="28"/>
          <w:szCs w:val="28"/>
        </w:rPr>
        <w:t xml:space="preserve">projects risk </w:t>
      </w:r>
      <w:r w:rsidR="00A928CB">
        <w:rPr>
          <w:rFonts w:asciiTheme="majorHAnsi" w:hAnsiTheme="majorHAnsi"/>
          <w:b/>
          <w:sz w:val="28"/>
          <w:szCs w:val="28"/>
        </w:rPr>
        <w:t xml:space="preserve">wasting </w:t>
      </w:r>
      <w:r w:rsidR="0024097E">
        <w:rPr>
          <w:rFonts w:asciiTheme="majorHAnsi" w:hAnsiTheme="majorHAnsi"/>
          <w:b/>
          <w:sz w:val="28"/>
          <w:szCs w:val="28"/>
        </w:rPr>
        <w:t>$</w:t>
      </w:r>
      <w:r w:rsidR="0050005C">
        <w:rPr>
          <w:rFonts w:asciiTheme="majorHAnsi" w:hAnsiTheme="majorHAnsi"/>
          <w:b/>
          <w:sz w:val="28"/>
          <w:szCs w:val="28"/>
        </w:rPr>
        <w:t xml:space="preserve">91 </w:t>
      </w:r>
      <w:proofErr w:type="spellStart"/>
      <w:r w:rsidR="0024097E">
        <w:rPr>
          <w:rFonts w:asciiTheme="majorHAnsi" w:hAnsiTheme="majorHAnsi"/>
          <w:b/>
          <w:sz w:val="28"/>
          <w:szCs w:val="28"/>
        </w:rPr>
        <w:t>bln</w:t>
      </w:r>
      <w:proofErr w:type="spellEnd"/>
      <w:r w:rsidR="0024097E">
        <w:rPr>
          <w:rFonts w:asciiTheme="majorHAnsi" w:hAnsiTheme="majorHAnsi"/>
          <w:b/>
          <w:sz w:val="28"/>
          <w:szCs w:val="28"/>
        </w:rPr>
        <w:t xml:space="preserve"> of investor cash</w:t>
      </w:r>
    </w:p>
    <w:p w:rsidR="004A543C" w:rsidRDefault="004A543C">
      <w:pPr>
        <w:rPr>
          <w:rFonts w:asciiTheme="majorHAnsi" w:hAnsiTheme="majorHAnsi"/>
        </w:rPr>
      </w:pPr>
    </w:p>
    <w:p w:rsidR="0050005C" w:rsidRDefault="004F171D" w:rsidP="00BD0C96">
      <w:pPr>
        <w:rPr>
          <w:rFonts w:asciiTheme="majorHAnsi" w:hAnsiTheme="majorHAnsi"/>
          <w:sz w:val="22"/>
          <w:szCs w:val="22"/>
        </w:rPr>
      </w:pPr>
      <w:r w:rsidRPr="00314AC0">
        <w:rPr>
          <w:rFonts w:asciiTheme="majorHAnsi" w:hAnsiTheme="majorHAnsi"/>
          <w:sz w:val="22"/>
          <w:szCs w:val="22"/>
        </w:rPr>
        <w:t xml:space="preserve">London, August </w:t>
      </w:r>
      <w:r w:rsidR="00757B61">
        <w:rPr>
          <w:rFonts w:asciiTheme="majorHAnsi" w:hAnsiTheme="majorHAnsi"/>
          <w:sz w:val="22"/>
          <w:szCs w:val="22"/>
        </w:rPr>
        <w:t>15</w:t>
      </w:r>
      <w:r w:rsidR="00754082" w:rsidRPr="00314AC0">
        <w:rPr>
          <w:rFonts w:asciiTheme="majorHAnsi" w:hAnsiTheme="majorHAnsi"/>
          <w:sz w:val="22"/>
          <w:szCs w:val="22"/>
        </w:rPr>
        <w:t>,</w:t>
      </w:r>
      <w:r w:rsidR="00DC6852" w:rsidRPr="00314AC0">
        <w:rPr>
          <w:rFonts w:asciiTheme="majorHAnsi" w:hAnsiTheme="majorHAnsi"/>
          <w:sz w:val="22"/>
          <w:szCs w:val="22"/>
        </w:rPr>
        <w:t xml:space="preserve"> 2014 </w:t>
      </w:r>
      <w:r w:rsidR="00BD0C96" w:rsidRPr="00314AC0">
        <w:rPr>
          <w:rFonts w:asciiTheme="majorHAnsi" w:hAnsiTheme="majorHAnsi"/>
          <w:sz w:val="22"/>
          <w:szCs w:val="22"/>
        </w:rPr>
        <w:t xml:space="preserve">– </w:t>
      </w:r>
      <w:r w:rsidR="0024097E">
        <w:rPr>
          <w:rFonts w:asciiTheme="majorHAnsi" w:hAnsiTheme="majorHAnsi"/>
          <w:sz w:val="22"/>
          <w:szCs w:val="22"/>
        </w:rPr>
        <w:t>The Carbon Tracker Initiative</w:t>
      </w:r>
      <w:r w:rsidR="00BD0C96" w:rsidRPr="00314AC0">
        <w:rPr>
          <w:rFonts w:asciiTheme="majorHAnsi" w:hAnsiTheme="majorHAnsi"/>
          <w:sz w:val="22"/>
          <w:szCs w:val="22"/>
        </w:rPr>
        <w:t xml:space="preserve"> </w:t>
      </w:r>
      <w:r w:rsidR="001C7F53">
        <w:rPr>
          <w:rFonts w:asciiTheme="majorHAnsi" w:hAnsiTheme="majorHAnsi"/>
          <w:sz w:val="22"/>
          <w:szCs w:val="22"/>
        </w:rPr>
        <w:t xml:space="preserve">(CTI) </w:t>
      </w:r>
      <w:r w:rsidR="00BD0C96" w:rsidRPr="00314AC0">
        <w:rPr>
          <w:rFonts w:asciiTheme="majorHAnsi" w:hAnsiTheme="majorHAnsi"/>
          <w:sz w:val="22"/>
          <w:szCs w:val="22"/>
        </w:rPr>
        <w:t xml:space="preserve">today </w:t>
      </w:r>
      <w:r w:rsidR="00084568">
        <w:rPr>
          <w:rFonts w:asciiTheme="majorHAnsi" w:hAnsiTheme="majorHAnsi"/>
          <w:sz w:val="22"/>
          <w:szCs w:val="22"/>
        </w:rPr>
        <w:t xml:space="preserve">revealed some of the world’s most </w:t>
      </w:r>
      <w:r w:rsidR="00772458">
        <w:rPr>
          <w:rFonts w:asciiTheme="majorHAnsi" w:hAnsiTheme="majorHAnsi"/>
          <w:sz w:val="22"/>
          <w:szCs w:val="22"/>
        </w:rPr>
        <w:t>expensive</w:t>
      </w:r>
      <w:r w:rsidR="00FD6C18">
        <w:rPr>
          <w:rFonts w:asciiTheme="majorHAnsi" w:hAnsiTheme="majorHAnsi"/>
          <w:sz w:val="22"/>
          <w:szCs w:val="22"/>
        </w:rPr>
        <w:t xml:space="preserve"> future</w:t>
      </w:r>
      <w:r w:rsidR="00772458">
        <w:rPr>
          <w:rFonts w:asciiTheme="majorHAnsi" w:hAnsiTheme="majorHAnsi"/>
          <w:sz w:val="22"/>
          <w:szCs w:val="22"/>
        </w:rPr>
        <w:t xml:space="preserve"> </w:t>
      </w:r>
      <w:r w:rsidR="00084568">
        <w:rPr>
          <w:rFonts w:asciiTheme="majorHAnsi" w:hAnsiTheme="majorHAnsi"/>
          <w:sz w:val="22"/>
          <w:szCs w:val="22"/>
        </w:rPr>
        <w:t>oil projects</w:t>
      </w:r>
      <w:r w:rsidR="00405E1D">
        <w:rPr>
          <w:rFonts w:asciiTheme="majorHAnsi" w:hAnsiTheme="majorHAnsi"/>
          <w:sz w:val="22"/>
          <w:szCs w:val="22"/>
        </w:rPr>
        <w:t xml:space="preserve">, which the </w:t>
      </w:r>
      <w:r w:rsidR="00A14AD8">
        <w:rPr>
          <w:rFonts w:asciiTheme="majorHAnsi" w:hAnsiTheme="majorHAnsi"/>
          <w:sz w:val="22"/>
          <w:szCs w:val="22"/>
        </w:rPr>
        <w:t>biggest publicly listed oil companies</w:t>
      </w:r>
      <w:r w:rsidR="00405E1D">
        <w:rPr>
          <w:rFonts w:asciiTheme="majorHAnsi" w:hAnsiTheme="majorHAnsi"/>
          <w:sz w:val="22"/>
          <w:szCs w:val="22"/>
        </w:rPr>
        <w:t xml:space="preserve"> are considering for development</w:t>
      </w:r>
      <w:r w:rsidR="00A14AD8">
        <w:rPr>
          <w:rFonts w:asciiTheme="majorHAnsi" w:hAnsiTheme="majorHAnsi"/>
          <w:sz w:val="22"/>
          <w:szCs w:val="22"/>
        </w:rPr>
        <w:t>.</w:t>
      </w:r>
      <w:r w:rsidR="00772458">
        <w:rPr>
          <w:rFonts w:asciiTheme="majorHAnsi" w:hAnsiTheme="majorHAnsi"/>
          <w:sz w:val="22"/>
          <w:szCs w:val="22"/>
        </w:rPr>
        <w:t xml:space="preserve"> </w:t>
      </w:r>
      <w:r w:rsidR="00A14AD8">
        <w:rPr>
          <w:rFonts w:asciiTheme="majorHAnsi" w:hAnsiTheme="majorHAnsi"/>
          <w:sz w:val="22"/>
          <w:szCs w:val="22"/>
        </w:rPr>
        <w:t>S</w:t>
      </w:r>
      <w:r w:rsidR="00FD6C18">
        <w:rPr>
          <w:rFonts w:asciiTheme="majorHAnsi" w:hAnsiTheme="majorHAnsi"/>
          <w:sz w:val="22"/>
          <w:szCs w:val="22"/>
        </w:rPr>
        <w:t xml:space="preserve">ome of </w:t>
      </w:r>
      <w:r w:rsidR="00A14AD8">
        <w:rPr>
          <w:rFonts w:asciiTheme="majorHAnsi" w:hAnsiTheme="majorHAnsi"/>
          <w:sz w:val="22"/>
          <w:szCs w:val="22"/>
        </w:rPr>
        <w:t>these projects</w:t>
      </w:r>
      <w:r w:rsidR="00772458">
        <w:rPr>
          <w:rFonts w:asciiTheme="majorHAnsi" w:hAnsiTheme="majorHAnsi"/>
          <w:sz w:val="22"/>
          <w:szCs w:val="22"/>
        </w:rPr>
        <w:t xml:space="preserve"> </w:t>
      </w:r>
      <w:r w:rsidR="00A14AD8">
        <w:rPr>
          <w:rFonts w:asciiTheme="majorHAnsi" w:hAnsiTheme="majorHAnsi"/>
          <w:sz w:val="22"/>
          <w:szCs w:val="22"/>
        </w:rPr>
        <w:t>require</w:t>
      </w:r>
      <w:r w:rsidR="00772458">
        <w:rPr>
          <w:rFonts w:asciiTheme="majorHAnsi" w:hAnsiTheme="majorHAnsi"/>
          <w:sz w:val="22"/>
          <w:szCs w:val="22"/>
        </w:rPr>
        <w:t xml:space="preserve"> prices</w:t>
      </w:r>
      <w:r w:rsidR="001C7F53">
        <w:rPr>
          <w:rFonts w:asciiTheme="majorHAnsi" w:hAnsiTheme="majorHAnsi"/>
          <w:sz w:val="22"/>
          <w:szCs w:val="22"/>
        </w:rPr>
        <w:t xml:space="preserve"> far exceeding today’s levels</w:t>
      </w:r>
      <w:r w:rsidR="00A14AD8">
        <w:rPr>
          <w:rFonts w:asciiTheme="majorHAnsi" w:hAnsiTheme="majorHAnsi"/>
          <w:sz w:val="22"/>
          <w:szCs w:val="22"/>
        </w:rPr>
        <w:t>,</w:t>
      </w:r>
      <w:r w:rsidR="001C7F53">
        <w:rPr>
          <w:rFonts w:asciiTheme="majorHAnsi" w:hAnsiTheme="majorHAnsi"/>
          <w:sz w:val="22"/>
          <w:szCs w:val="22"/>
        </w:rPr>
        <w:t xml:space="preserve"> </w:t>
      </w:r>
      <w:r w:rsidR="00A14AD8">
        <w:rPr>
          <w:rFonts w:asciiTheme="majorHAnsi" w:hAnsiTheme="majorHAnsi"/>
          <w:sz w:val="22"/>
          <w:szCs w:val="22"/>
        </w:rPr>
        <w:t>and</w:t>
      </w:r>
      <w:r w:rsidR="001C7F53">
        <w:rPr>
          <w:rFonts w:asciiTheme="majorHAnsi" w:hAnsiTheme="majorHAnsi"/>
          <w:sz w:val="22"/>
          <w:szCs w:val="22"/>
        </w:rPr>
        <w:t xml:space="preserve"> </w:t>
      </w:r>
      <w:r w:rsidR="007F1D8B">
        <w:rPr>
          <w:rFonts w:asciiTheme="majorHAnsi" w:hAnsiTheme="majorHAnsi"/>
          <w:sz w:val="22"/>
          <w:szCs w:val="22"/>
        </w:rPr>
        <w:t>risk wasting</w:t>
      </w:r>
      <w:r w:rsidR="001C7F53">
        <w:rPr>
          <w:rFonts w:asciiTheme="majorHAnsi" w:hAnsiTheme="majorHAnsi"/>
          <w:sz w:val="22"/>
          <w:szCs w:val="22"/>
        </w:rPr>
        <w:t xml:space="preserve"> $91 billion of investor cash over the next decade</w:t>
      </w:r>
      <w:r w:rsidR="00A14AD8">
        <w:rPr>
          <w:rFonts w:asciiTheme="majorHAnsi" w:hAnsiTheme="majorHAnsi"/>
          <w:sz w:val="22"/>
          <w:szCs w:val="22"/>
        </w:rPr>
        <w:t xml:space="preserve"> if taken into production</w:t>
      </w:r>
      <w:r w:rsidR="00084568">
        <w:rPr>
          <w:rFonts w:asciiTheme="majorHAnsi" w:hAnsiTheme="majorHAnsi"/>
          <w:sz w:val="22"/>
          <w:szCs w:val="22"/>
        </w:rPr>
        <w:t xml:space="preserve">. </w:t>
      </w:r>
      <w:r w:rsidR="001C7F53">
        <w:rPr>
          <w:rFonts w:asciiTheme="majorHAnsi" w:hAnsiTheme="majorHAnsi"/>
          <w:sz w:val="22"/>
          <w:szCs w:val="22"/>
        </w:rPr>
        <w:t>The projects</w:t>
      </w:r>
      <w:r w:rsidR="002344CB">
        <w:rPr>
          <w:rFonts w:asciiTheme="majorHAnsi" w:hAnsiTheme="majorHAnsi"/>
          <w:sz w:val="22"/>
          <w:szCs w:val="22"/>
        </w:rPr>
        <w:t xml:space="preserve"> are</w:t>
      </w:r>
      <w:r w:rsidR="001C7F53">
        <w:rPr>
          <w:rFonts w:asciiTheme="majorHAnsi" w:hAnsiTheme="majorHAnsi"/>
          <w:sz w:val="22"/>
          <w:szCs w:val="22"/>
        </w:rPr>
        <w:t xml:space="preserve"> </w:t>
      </w:r>
      <w:r w:rsidR="00FD4B9C">
        <w:rPr>
          <w:rFonts w:asciiTheme="majorHAnsi" w:hAnsiTheme="majorHAnsi"/>
          <w:sz w:val="22"/>
          <w:szCs w:val="22"/>
        </w:rPr>
        <w:t xml:space="preserve">suggested as </w:t>
      </w:r>
      <w:r w:rsidR="00BD0C96" w:rsidRPr="00314AC0">
        <w:rPr>
          <w:rFonts w:asciiTheme="majorHAnsi" w:hAnsiTheme="majorHAnsi"/>
          <w:sz w:val="22"/>
          <w:szCs w:val="22"/>
        </w:rPr>
        <w:t xml:space="preserve">prime candidates for cancellation. </w:t>
      </w:r>
    </w:p>
    <w:p w:rsidR="0050005C" w:rsidRDefault="0050005C" w:rsidP="00BD0C96">
      <w:pPr>
        <w:rPr>
          <w:rFonts w:asciiTheme="majorHAnsi" w:hAnsiTheme="majorHAnsi"/>
          <w:sz w:val="22"/>
          <w:szCs w:val="22"/>
        </w:rPr>
      </w:pPr>
    </w:p>
    <w:p w:rsidR="00D45B6A" w:rsidRPr="00314AC0" w:rsidRDefault="00BD0C96" w:rsidP="00BD0C96">
      <w:pPr>
        <w:rPr>
          <w:rFonts w:asciiTheme="majorHAnsi" w:hAnsiTheme="majorHAnsi"/>
          <w:sz w:val="22"/>
          <w:szCs w:val="22"/>
        </w:rPr>
      </w:pPr>
      <w:r w:rsidRPr="00314AC0">
        <w:rPr>
          <w:rFonts w:asciiTheme="majorHAnsi" w:hAnsiTheme="majorHAnsi"/>
          <w:sz w:val="22"/>
          <w:szCs w:val="22"/>
        </w:rPr>
        <w:t xml:space="preserve">Following </w:t>
      </w:r>
      <w:r w:rsidR="00497FF3">
        <w:rPr>
          <w:rFonts w:asciiTheme="majorHAnsi" w:hAnsiTheme="majorHAnsi"/>
          <w:sz w:val="22"/>
          <w:szCs w:val="22"/>
        </w:rPr>
        <w:t>CTI’s</w:t>
      </w:r>
      <w:r w:rsidRPr="00314AC0">
        <w:rPr>
          <w:rFonts w:asciiTheme="majorHAnsi" w:hAnsiTheme="majorHAnsi"/>
          <w:sz w:val="22"/>
          <w:szCs w:val="22"/>
        </w:rPr>
        <w:t xml:space="preserve"> carbon cost curve</w:t>
      </w:r>
      <w:r w:rsidR="00424CAB">
        <w:rPr>
          <w:rFonts w:asciiTheme="majorHAnsi" w:hAnsiTheme="majorHAnsi"/>
          <w:sz w:val="22"/>
          <w:szCs w:val="22"/>
        </w:rPr>
        <w:t xml:space="preserve"> study</w:t>
      </w:r>
      <w:r w:rsidR="00497FF3">
        <w:rPr>
          <w:rFonts w:asciiTheme="majorHAnsi" w:hAnsiTheme="majorHAnsi"/>
          <w:sz w:val="22"/>
          <w:szCs w:val="22"/>
        </w:rPr>
        <w:t xml:space="preserve"> </w:t>
      </w:r>
      <w:r w:rsidRPr="00314AC0">
        <w:rPr>
          <w:rFonts w:asciiTheme="majorHAnsi" w:hAnsiTheme="majorHAnsi"/>
          <w:sz w:val="22"/>
          <w:szCs w:val="22"/>
        </w:rPr>
        <w:t>published in May</w:t>
      </w:r>
      <w:r w:rsidR="006B41F7">
        <w:rPr>
          <w:rStyle w:val="EndnoteReference"/>
          <w:rFonts w:asciiTheme="majorHAnsi" w:hAnsiTheme="majorHAnsi"/>
          <w:sz w:val="22"/>
          <w:szCs w:val="22"/>
        </w:rPr>
        <w:endnoteReference w:id="1"/>
      </w:r>
      <w:r w:rsidRPr="00314AC0">
        <w:rPr>
          <w:rFonts w:asciiTheme="majorHAnsi" w:hAnsiTheme="majorHAnsi"/>
          <w:sz w:val="22"/>
          <w:szCs w:val="22"/>
        </w:rPr>
        <w:t xml:space="preserve">, </w:t>
      </w:r>
      <w:r w:rsidR="00424CAB">
        <w:rPr>
          <w:rFonts w:asciiTheme="majorHAnsi" w:hAnsiTheme="majorHAnsi"/>
          <w:sz w:val="22"/>
          <w:szCs w:val="22"/>
        </w:rPr>
        <w:t xml:space="preserve">institutional </w:t>
      </w:r>
      <w:r w:rsidRPr="00314AC0">
        <w:rPr>
          <w:rFonts w:asciiTheme="majorHAnsi" w:hAnsiTheme="majorHAnsi"/>
          <w:sz w:val="22"/>
          <w:szCs w:val="22"/>
        </w:rPr>
        <w:t>investors have been asking for more</w:t>
      </w:r>
      <w:r w:rsidR="00B7466B">
        <w:rPr>
          <w:rFonts w:asciiTheme="majorHAnsi" w:hAnsiTheme="majorHAnsi"/>
          <w:sz w:val="22"/>
          <w:szCs w:val="22"/>
        </w:rPr>
        <w:t xml:space="preserve"> </w:t>
      </w:r>
      <w:r w:rsidR="00424CAB">
        <w:rPr>
          <w:rFonts w:asciiTheme="majorHAnsi" w:hAnsiTheme="majorHAnsi"/>
          <w:sz w:val="22"/>
          <w:szCs w:val="22"/>
        </w:rPr>
        <w:t xml:space="preserve">details and </w:t>
      </w:r>
      <w:r w:rsidR="00B7466B">
        <w:rPr>
          <w:rFonts w:asciiTheme="majorHAnsi" w:hAnsiTheme="majorHAnsi"/>
          <w:sz w:val="22"/>
          <w:szCs w:val="22"/>
        </w:rPr>
        <w:t xml:space="preserve">economic </w:t>
      </w:r>
      <w:r w:rsidR="00424CAB">
        <w:rPr>
          <w:rFonts w:asciiTheme="majorHAnsi" w:hAnsiTheme="majorHAnsi"/>
          <w:sz w:val="22"/>
          <w:szCs w:val="22"/>
        </w:rPr>
        <w:t>justification for</w:t>
      </w:r>
      <w:r w:rsidRPr="00314AC0">
        <w:rPr>
          <w:rFonts w:asciiTheme="majorHAnsi" w:hAnsiTheme="majorHAnsi"/>
          <w:sz w:val="22"/>
          <w:szCs w:val="22"/>
        </w:rPr>
        <w:t xml:space="preserve"> projects </w:t>
      </w:r>
      <w:r w:rsidR="00424CAB">
        <w:rPr>
          <w:rFonts w:asciiTheme="majorHAnsi" w:hAnsiTheme="majorHAnsi"/>
          <w:sz w:val="22"/>
          <w:szCs w:val="22"/>
        </w:rPr>
        <w:t xml:space="preserve">that </w:t>
      </w:r>
      <w:r w:rsidRPr="00314AC0">
        <w:rPr>
          <w:rFonts w:asciiTheme="majorHAnsi" w:hAnsiTheme="majorHAnsi"/>
          <w:sz w:val="22"/>
          <w:szCs w:val="22"/>
        </w:rPr>
        <w:t xml:space="preserve">require </w:t>
      </w:r>
      <w:r w:rsidR="0097098A" w:rsidRPr="00314AC0">
        <w:rPr>
          <w:rFonts w:asciiTheme="majorHAnsi" w:hAnsiTheme="majorHAnsi"/>
          <w:sz w:val="22"/>
          <w:szCs w:val="22"/>
        </w:rPr>
        <w:t xml:space="preserve">high </w:t>
      </w:r>
      <w:r w:rsidRPr="00314AC0">
        <w:rPr>
          <w:rFonts w:asciiTheme="majorHAnsi" w:hAnsiTheme="majorHAnsi"/>
          <w:sz w:val="22"/>
          <w:szCs w:val="22"/>
        </w:rPr>
        <w:t>oil prices</w:t>
      </w:r>
      <w:r w:rsidR="00424CAB">
        <w:rPr>
          <w:rFonts w:asciiTheme="majorHAnsi" w:hAnsiTheme="majorHAnsi"/>
          <w:sz w:val="22"/>
          <w:szCs w:val="22"/>
        </w:rPr>
        <w:t xml:space="preserve"> to succeed</w:t>
      </w:r>
      <w:r w:rsidR="00531935">
        <w:rPr>
          <w:rFonts w:asciiTheme="majorHAnsi" w:hAnsiTheme="majorHAnsi"/>
          <w:sz w:val="22"/>
          <w:szCs w:val="22"/>
        </w:rPr>
        <w:t>.</w:t>
      </w:r>
      <w:r w:rsidRPr="00314AC0">
        <w:rPr>
          <w:rFonts w:asciiTheme="majorHAnsi" w:hAnsiTheme="majorHAnsi"/>
          <w:sz w:val="22"/>
          <w:szCs w:val="22"/>
        </w:rPr>
        <w:t xml:space="preserve"> </w:t>
      </w:r>
    </w:p>
    <w:p w:rsidR="005810E1" w:rsidRPr="00314AC0" w:rsidRDefault="005810E1">
      <w:pPr>
        <w:rPr>
          <w:rFonts w:asciiTheme="majorHAnsi" w:hAnsiTheme="majorHAnsi"/>
          <w:sz w:val="22"/>
          <w:szCs w:val="22"/>
        </w:rPr>
      </w:pPr>
    </w:p>
    <w:p w:rsidR="0050005C" w:rsidRDefault="004A7BA8" w:rsidP="00F151BB">
      <w:pPr>
        <w:rPr>
          <w:rFonts w:asciiTheme="majorHAnsi" w:hAnsiTheme="majorHAnsi"/>
          <w:sz w:val="22"/>
          <w:szCs w:val="22"/>
        </w:rPr>
      </w:pPr>
      <w:r w:rsidRPr="00314AC0">
        <w:rPr>
          <w:rFonts w:asciiTheme="majorHAnsi" w:hAnsiTheme="majorHAnsi"/>
          <w:sz w:val="22"/>
          <w:szCs w:val="22"/>
        </w:rPr>
        <w:t xml:space="preserve">Today’s CTI </w:t>
      </w:r>
      <w:r w:rsidR="00424CAB">
        <w:rPr>
          <w:rFonts w:asciiTheme="majorHAnsi" w:hAnsiTheme="majorHAnsi"/>
          <w:sz w:val="22"/>
          <w:szCs w:val="22"/>
        </w:rPr>
        <w:t>research</w:t>
      </w:r>
      <w:r w:rsidR="000828E8" w:rsidRPr="00314AC0">
        <w:rPr>
          <w:rFonts w:asciiTheme="majorHAnsi" w:hAnsiTheme="majorHAnsi"/>
          <w:sz w:val="22"/>
          <w:szCs w:val="22"/>
        </w:rPr>
        <w:t xml:space="preserve"> goes one step further</w:t>
      </w:r>
      <w:r w:rsidR="00DC1EDF" w:rsidRPr="00314AC0">
        <w:rPr>
          <w:rFonts w:asciiTheme="majorHAnsi" w:hAnsiTheme="majorHAnsi"/>
          <w:sz w:val="22"/>
          <w:szCs w:val="22"/>
        </w:rPr>
        <w:t xml:space="preserve"> </w:t>
      </w:r>
      <w:r w:rsidR="0050005C">
        <w:rPr>
          <w:rFonts w:asciiTheme="majorHAnsi" w:hAnsiTheme="majorHAnsi"/>
          <w:sz w:val="22"/>
          <w:szCs w:val="22"/>
        </w:rPr>
        <w:t xml:space="preserve">than the </w:t>
      </w:r>
      <w:r w:rsidR="00DC1EDF" w:rsidRPr="00314AC0">
        <w:rPr>
          <w:rFonts w:asciiTheme="majorHAnsi" w:hAnsiTheme="majorHAnsi"/>
          <w:sz w:val="22"/>
          <w:szCs w:val="22"/>
        </w:rPr>
        <w:t>May</w:t>
      </w:r>
      <w:r w:rsidR="00424CAB">
        <w:rPr>
          <w:rFonts w:asciiTheme="majorHAnsi" w:hAnsiTheme="majorHAnsi"/>
          <w:sz w:val="22"/>
          <w:szCs w:val="22"/>
        </w:rPr>
        <w:t xml:space="preserve"> analysis</w:t>
      </w:r>
      <w:r w:rsidR="000828E8" w:rsidRPr="00314AC0">
        <w:rPr>
          <w:rFonts w:asciiTheme="majorHAnsi" w:hAnsiTheme="majorHAnsi"/>
          <w:sz w:val="22"/>
          <w:szCs w:val="22"/>
        </w:rPr>
        <w:t xml:space="preserve">, </w:t>
      </w:r>
      <w:r w:rsidR="00DC1EDF" w:rsidRPr="00314AC0">
        <w:rPr>
          <w:rFonts w:asciiTheme="majorHAnsi" w:hAnsiTheme="majorHAnsi"/>
          <w:sz w:val="22"/>
          <w:szCs w:val="22"/>
        </w:rPr>
        <w:t xml:space="preserve">ranking </w:t>
      </w:r>
      <w:r w:rsidR="000D0003" w:rsidRPr="00314AC0">
        <w:rPr>
          <w:rFonts w:asciiTheme="majorHAnsi" w:hAnsiTheme="majorHAnsi"/>
          <w:sz w:val="22"/>
          <w:szCs w:val="22"/>
        </w:rPr>
        <w:t>oil majors</w:t>
      </w:r>
      <w:r w:rsidR="00AB2E9A" w:rsidRPr="00314AC0">
        <w:rPr>
          <w:rFonts w:asciiTheme="majorHAnsi" w:hAnsiTheme="majorHAnsi"/>
          <w:sz w:val="22"/>
          <w:szCs w:val="22"/>
        </w:rPr>
        <w:t xml:space="preserve"> </w:t>
      </w:r>
      <w:r w:rsidR="00DC1EDF" w:rsidRPr="00314AC0">
        <w:rPr>
          <w:rFonts w:asciiTheme="majorHAnsi" w:hAnsiTheme="majorHAnsi"/>
          <w:sz w:val="22"/>
          <w:szCs w:val="22"/>
        </w:rPr>
        <w:t xml:space="preserve">according to their capex exposure </w:t>
      </w:r>
      <w:r w:rsidR="00AB2E9A" w:rsidRPr="00314AC0">
        <w:rPr>
          <w:rFonts w:asciiTheme="majorHAnsi" w:hAnsiTheme="majorHAnsi"/>
          <w:sz w:val="22"/>
          <w:szCs w:val="22"/>
        </w:rPr>
        <w:t>to</w:t>
      </w:r>
      <w:r w:rsidR="000828E8" w:rsidRPr="00314AC0">
        <w:rPr>
          <w:rFonts w:asciiTheme="majorHAnsi" w:hAnsiTheme="majorHAnsi"/>
          <w:sz w:val="22"/>
          <w:szCs w:val="22"/>
        </w:rPr>
        <w:t xml:space="preserve"> </w:t>
      </w:r>
      <w:r w:rsidR="00AB2E9A" w:rsidRPr="00314AC0">
        <w:rPr>
          <w:rFonts w:asciiTheme="majorHAnsi" w:hAnsiTheme="majorHAnsi"/>
          <w:sz w:val="22"/>
          <w:szCs w:val="22"/>
        </w:rPr>
        <w:t>undeveloped</w:t>
      </w:r>
      <w:r w:rsidR="0050005C">
        <w:rPr>
          <w:rFonts w:asciiTheme="majorHAnsi" w:hAnsiTheme="majorHAnsi"/>
          <w:sz w:val="22"/>
          <w:szCs w:val="22"/>
        </w:rPr>
        <w:t>, high cost</w:t>
      </w:r>
      <w:r w:rsidR="00AB2E9A" w:rsidRPr="00314AC0">
        <w:rPr>
          <w:rFonts w:asciiTheme="majorHAnsi" w:hAnsiTheme="majorHAnsi"/>
          <w:sz w:val="22"/>
          <w:szCs w:val="22"/>
        </w:rPr>
        <w:t xml:space="preserve"> projects</w:t>
      </w:r>
      <w:r w:rsidR="001C7F53">
        <w:rPr>
          <w:rFonts w:asciiTheme="majorHAnsi" w:hAnsiTheme="majorHAnsi"/>
          <w:sz w:val="22"/>
          <w:szCs w:val="22"/>
        </w:rPr>
        <w:t>, and revealing the highest risk projects</w:t>
      </w:r>
      <w:r w:rsidR="0048402C" w:rsidRPr="00314AC0">
        <w:rPr>
          <w:rFonts w:asciiTheme="majorHAnsi" w:hAnsiTheme="majorHAnsi"/>
          <w:sz w:val="22"/>
          <w:szCs w:val="22"/>
        </w:rPr>
        <w:t>.</w:t>
      </w:r>
      <w:r w:rsidR="00774D09">
        <w:rPr>
          <w:rFonts w:asciiTheme="majorHAnsi" w:hAnsiTheme="majorHAnsi"/>
          <w:sz w:val="22"/>
          <w:szCs w:val="22"/>
        </w:rPr>
        <w:t xml:space="preserve"> </w:t>
      </w:r>
    </w:p>
    <w:p w:rsidR="0050005C" w:rsidRDefault="0050005C" w:rsidP="00F151BB">
      <w:pPr>
        <w:rPr>
          <w:rFonts w:asciiTheme="majorHAnsi" w:hAnsiTheme="majorHAnsi"/>
          <w:sz w:val="22"/>
          <w:szCs w:val="22"/>
        </w:rPr>
      </w:pPr>
    </w:p>
    <w:p w:rsidR="00AF06C2" w:rsidRPr="00314AC0" w:rsidRDefault="001C7F53" w:rsidP="00AF06C2">
      <w:pPr>
        <w:rPr>
          <w:rFonts w:asciiTheme="majorHAnsi" w:hAnsiTheme="majorHAnsi"/>
          <w:sz w:val="22"/>
          <w:szCs w:val="22"/>
        </w:rPr>
      </w:pPr>
      <w:r>
        <w:rPr>
          <w:rFonts w:asciiTheme="majorHAnsi" w:hAnsiTheme="majorHAnsi"/>
          <w:sz w:val="22"/>
          <w:szCs w:val="22"/>
        </w:rPr>
        <w:t xml:space="preserve">To create shareholder value, oil majors </w:t>
      </w:r>
      <w:r w:rsidR="00AF06C2">
        <w:rPr>
          <w:rFonts w:asciiTheme="majorHAnsi" w:hAnsiTheme="majorHAnsi"/>
          <w:sz w:val="22"/>
          <w:szCs w:val="22"/>
        </w:rPr>
        <w:t>need to reduce exposure to exploration projects requiring the highest oil prices</w:t>
      </w:r>
      <w:r>
        <w:rPr>
          <w:rFonts w:asciiTheme="majorHAnsi" w:hAnsiTheme="majorHAnsi"/>
          <w:sz w:val="22"/>
          <w:szCs w:val="22"/>
        </w:rPr>
        <w:t>, rather than solely pursue production volume</w:t>
      </w:r>
      <w:r w:rsidR="00AF06C2">
        <w:rPr>
          <w:rFonts w:asciiTheme="majorHAnsi" w:hAnsiTheme="majorHAnsi"/>
          <w:sz w:val="22"/>
          <w:szCs w:val="22"/>
        </w:rPr>
        <w:t>. To help investors,</w:t>
      </w:r>
      <w:r w:rsidR="00AF06C2" w:rsidRPr="00314AC0">
        <w:rPr>
          <w:rFonts w:asciiTheme="majorHAnsi" w:hAnsiTheme="majorHAnsi"/>
          <w:sz w:val="22"/>
          <w:szCs w:val="22"/>
        </w:rPr>
        <w:t xml:space="preserve"> CTI lists the top </w:t>
      </w:r>
      <w:r w:rsidR="00AF06C2">
        <w:rPr>
          <w:rFonts w:asciiTheme="majorHAnsi" w:hAnsiTheme="majorHAnsi"/>
          <w:sz w:val="22"/>
          <w:szCs w:val="22"/>
        </w:rPr>
        <w:t>20 undeveloped</w:t>
      </w:r>
      <w:r w:rsidR="00AF06C2" w:rsidRPr="00314AC0">
        <w:rPr>
          <w:rFonts w:asciiTheme="majorHAnsi" w:hAnsiTheme="majorHAnsi"/>
          <w:sz w:val="22"/>
          <w:szCs w:val="22"/>
        </w:rPr>
        <w:t xml:space="preserve"> </w:t>
      </w:r>
      <w:r w:rsidR="00AF06C2">
        <w:rPr>
          <w:rFonts w:asciiTheme="majorHAnsi" w:hAnsiTheme="majorHAnsi"/>
          <w:sz w:val="22"/>
          <w:szCs w:val="22"/>
        </w:rPr>
        <w:t xml:space="preserve">high-cost </w:t>
      </w:r>
      <w:r w:rsidR="00AF06C2" w:rsidRPr="00314AC0">
        <w:rPr>
          <w:rFonts w:asciiTheme="majorHAnsi" w:hAnsiTheme="majorHAnsi"/>
          <w:sz w:val="22"/>
          <w:szCs w:val="22"/>
        </w:rPr>
        <w:t>oil projects</w:t>
      </w:r>
      <w:r w:rsidR="00AF06C2">
        <w:rPr>
          <w:rFonts w:asciiTheme="majorHAnsi" w:hAnsiTheme="majorHAnsi"/>
          <w:sz w:val="22"/>
          <w:szCs w:val="22"/>
        </w:rPr>
        <w:t>, by size</w:t>
      </w:r>
      <w:r w:rsidR="00AF06C2" w:rsidRPr="00314AC0">
        <w:rPr>
          <w:rFonts w:asciiTheme="majorHAnsi" w:hAnsiTheme="majorHAnsi"/>
          <w:sz w:val="22"/>
          <w:szCs w:val="22"/>
        </w:rPr>
        <w:t>. They are primarily a mix of Alberta oil sands and deep water projects in the Atlantic, representing $91 billion of</w:t>
      </w:r>
      <w:r w:rsidR="00FD6C18">
        <w:rPr>
          <w:rFonts w:asciiTheme="majorHAnsi" w:hAnsiTheme="majorHAnsi"/>
          <w:sz w:val="22"/>
          <w:szCs w:val="22"/>
        </w:rPr>
        <w:t xml:space="preserve"> </w:t>
      </w:r>
      <w:r w:rsidR="00AF06C2" w:rsidRPr="00314AC0">
        <w:rPr>
          <w:rFonts w:asciiTheme="majorHAnsi" w:hAnsiTheme="majorHAnsi"/>
          <w:sz w:val="22"/>
          <w:szCs w:val="22"/>
        </w:rPr>
        <w:t>capital (over the period 2014-25),</w:t>
      </w:r>
      <w:r w:rsidR="00AF06C2">
        <w:rPr>
          <w:rFonts w:asciiTheme="majorHAnsi" w:hAnsiTheme="majorHAnsi"/>
          <w:sz w:val="22"/>
          <w:szCs w:val="22"/>
        </w:rPr>
        <w:t xml:space="preserve"> which</w:t>
      </w:r>
      <w:r w:rsidR="00AF06C2" w:rsidRPr="00314AC0">
        <w:rPr>
          <w:rFonts w:asciiTheme="majorHAnsi" w:hAnsiTheme="majorHAnsi"/>
          <w:sz w:val="22"/>
          <w:szCs w:val="22"/>
        </w:rPr>
        <w:t xml:space="preserve"> could be returned to shareholders rather than</w:t>
      </w:r>
      <w:r w:rsidR="00AF06C2">
        <w:rPr>
          <w:rFonts w:asciiTheme="majorHAnsi" w:hAnsiTheme="majorHAnsi"/>
          <w:sz w:val="22"/>
          <w:szCs w:val="22"/>
        </w:rPr>
        <w:t xml:space="preserve"> have oil firms</w:t>
      </w:r>
      <w:r w:rsidR="00AF06C2" w:rsidRPr="00314AC0">
        <w:rPr>
          <w:rFonts w:asciiTheme="majorHAnsi" w:hAnsiTheme="majorHAnsi"/>
          <w:sz w:val="22"/>
          <w:szCs w:val="22"/>
        </w:rPr>
        <w:t xml:space="preserve"> gamble it away</w:t>
      </w:r>
      <w:r w:rsidR="00AF06C2">
        <w:rPr>
          <w:rFonts w:asciiTheme="majorHAnsi" w:hAnsiTheme="majorHAnsi"/>
          <w:sz w:val="22"/>
          <w:szCs w:val="22"/>
        </w:rPr>
        <w:t>.</w:t>
      </w:r>
    </w:p>
    <w:p w:rsidR="0059512B" w:rsidRDefault="0059512B" w:rsidP="0059512B">
      <w:pPr>
        <w:tabs>
          <w:tab w:val="left" w:pos="2850"/>
        </w:tabs>
        <w:rPr>
          <w:rFonts w:asciiTheme="majorHAnsi" w:hAnsiTheme="majorHAnsi"/>
          <w:sz w:val="22"/>
          <w:szCs w:val="22"/>
        </w:rPr>
      </w:pPr>
    </w:p>
    <w:p w:rsidR="0059512B" w:rsidRPr="00314AC0" w:rsidRDefault="0059512B" w:rsidP="0059512B">
      <w:pPr>
        <w:tabs>
          <w:tab w:val="left" w:pos="2850"/>
        </w:tabs>
        <w:rPr>
          <w:rFonts w:asciiTheme="majorHAnsi" w:hAnsiTheme="majorHAnsi"/>
          <w:sz w:val="22"/>
          <w:szCs w:val="22"/>
        </w:rPr>
      </w:pPr>
      <w:r w:rsidRPr="00314AC0">
        <w:rPr>
          <w:rFonts w:asciiTheme="majorHAnsi" w:hAnsiTheme="majorHAnsi"/>
          <w:sz w:val="22"/>
          <w:szCs w:val="22"/>
        </w:rPr>
        <w:t xml:space="preserve">All the fields require at least $95 a barrel </w:t>
      </w:r>
      <w:r>
        <w:rPr>
          <w:rFonts w:asciiTheme="majorHAnsi" w:hAnsiTheme="majorHAnsi"/>
          <w:sz w:val="22"/>
          <w:szCs w:val="22"/>
        </w:rPr>
        <w:t>for sanction,</w:t>
      </w:r>
      <w:r w:rsidRPr="00314AC0">
        <w:rPr>
          <w:rFonts w:asciiTheme="majorHAnsi" w:hAnsiTheme="majorHAnsi"/>
          <w:sz w:val="22"/>
          <w:szCs w:val="22"/>
        </w:rPr>
        <w:t xml:space="preserve"> and some need prices </w:t>
      </w:r>
      <w:r>
        <w:rPr>
          <w:rFonts w:asciiTheme="majorHAnsi" w:hAnsiTheme="majorHAnsi"/>
          <w:sz w:val="22"/>
          <w:szCs w:val="22"/>
        </w:rPr>
        <w:t>in excess of</w:t>
      </w:r>
      <w:r w:rsidRPr="00314AC0">
        <w:rPr>
          <w:rFonts w:asciiTheme="majorHAnsi" w:hAnsiTheme="majorHAnsi"/>
          <w:sz w:val="22"/>
          <w:szCs w:val="22"/>
        </w:rPr>
        <w:t xml:space="preserve"> $15</w:t>
      </w:r>
      <w:r>
        <w:rPr>
          <w:rFonts w:asciiTheme="majorHAnsi" w:hAnsiTheme="majorHAnsi"/>
          <w:sz w:val="22"/>
          <w:szCs w:val="22"/>
        </w:rPr>
        <w:t>0 per barrel</w:t>
      </w:r>
      <w:r w:rsidRPr="00314AC0">
        <w:rPr>
          <w:rFonts w:asciiTheme="majorHAnsi" w:hAnsiTheme="majorHAnsi"/>
          <w:sz w:val="22"/>
          <w:szCs w:val="22"/>
        </w:rPr>
        <w:t>.</w:t>
      </w:r>
      <w:r w:rsidRPr="00314AC0" w:rsidDel="00DC1EDF">
        <w:rPr>
          <w:rFonts w:asciiTheme="majorHAnsi" w:hAnsiTheme="majorHAnsi"/>
          <w:sz w:val="22"/>
          <w:szCs w:val="22"/>
        </w:rPr>
        <w:t xml:space="preserve"> </w:t>
      </w:r>
      <w:r w:rsidRPr="00314AC0">
        <w:rPr>
          <w:rFonts w:asciiTheme="majorHAnsi" w:hAnsiTheme="majorHAnsi"/>
          <w:sz w:val="22"/>
          <w:szCs w:val="22"/>
        </w:rPr>
        <w:t xml:space="preserve">The global Brent oil benchmark has ranged between $99 bbl and $114 bbl over the past 12 months. </w:t>
      </w:r>
    </w:p>
    <w:p w:rsidR="00AF06C2" w:rsidRPr="00314AC0" w:rsidRDefault="00AF06C2" w:rsidP="00AF06C2">
      <w:pPr>
        <w:rPr>
          <w:rFonts w:asciiTheme="majorHAnsi" w:hAnsiTheme="majorHAnsi"/>
          <w:sz w:val="22"/>
          <w:szCs w:val="22"/>
        </w:rPr>
      </w:pPr>
    </w:p>
    <w:p w:rsidR="00AF06C2" w:rsidRDefault="003952E9" w:rsidP="00AF06C2">
      <w:pPr>
        <w:rPr>
          <w:noProof/>
          <w:sz w:val="22"/>
          <w:szCs w:val="22"/>
          <w:highlight w:val="yellow"/>
          <w:lang w:val="en-GB" w:eastAsia="en-GB"/>
        </w:rPr>
      </w:pPr>
      <w:r w:rsidRPr="003952E9">
        <w:rPr>
          <w:noProof/>
          <w:lang w:eastAsia="en-US"/>
        </w:rPr>
        <w:drawing>
          <wp:inline distT="0" distB="0" distL="0" distR="0">
            <wp:extent cx="5270500" cy="2987426"/>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70500" cy="2987426"/>
                    </a:xfrm>
                    <a:prstGeom prst="rect">
                      <a:avLst/>
                    </a:prstGeom>
                    <a:noFill/>
                    <a:ln>
                      <a:noFill/>
                    </a:ln>
                  </pic:spPr>
                </pic:pic>
              </a:graphicData>
            </a:graphic>
          </wp:inline>
        </w:drawing>
      </w:r>
    </w:p>
    <w:p w:rsidR="00AF06C2" w:rsidRPr="00314AC0" w:rsidRDefault="00AF06C2" w:rsidP="00AF06C2">
      <w:pPr>
        <w:rPr>
          <w:rFonts w:asciiTheme="majorHAnsi" w:hAnsiTheme="majorHAnsi"/>
          <w:sz w:val="22"/>
          <w:szCs w:val="22"/>
        </w:rPr>
      </w:pPr>
    </w:p>
    <w:p w:rsidR="001C7F53" w:rsidRPr="00314AC0" w:rsidRDefault="0059512B" w:rsidP="001C7F53">
      <w:pPr>
        <w:rPr>
          <w:rFonts w:asciiTheme="majorHAnsi" w:hAnsiTheme="majorHAnsi"/>
          <w:sz w:val="22"/>
          <w:szCs w:val="22"/>
        </w:rPr>
      </w:pPr>
      <w:r>
        <w:rPr>
          <w:rFonts w:asciiTheme="majorHAnsi" w:hAnsiTheme="majorHAnsi"/>
          <w:sz w:val="22"/>
          <w:szCs w:val="22"/>
        </w:rPr>
        <w:t xml:space="preserve"> </w:t>
      </w:r>
      <w:r w:rsidR="001C7F53">
        <w:rPr>
          <w:rFonts w:asciiTheme="majorHAnsi" w:hAnsiTheme="majorHAnsi"/>
          <w:sz w:val="22"/>
          <w:szCs w:val="22"/>
        </w:rPr>
        <w:t xml:space="preserve">“Investors are concerned about the levels of capital being sunk into future fields by the oil sector, but are not getting answers on the economics of the projects from the companies,” said James Leaton, CTI’s research Director. </w:t>
      </w:r>
      <w:r w:rsidR="00430E95" w:rsidRPr="00430E95">
        <w:rPr>
          <w:rFonts w:asciiTheme="majorHAnsi" w:hAnsiTheme="majorHAnsi"/>
          <w:sz w:val="22"/>
          <w:szCs w:val="22"/>
        </w:rPr>
        <w:t xml:space="preserve"> </w:t>
      </w:r>
      <w:r w:rsidR="00430E95">
        <w:rPr>
          <w:rFonts w:asciiTheme="majorHAnsi" w:hAnsiTheme="majorHAnsi"/>
          <w:sz w:val="22"/>
          <w:szCs w:val="22"/>
        </w:rPr>
        <w:t>“CTI has responded to demand for detail to enable shareholders to challenge where money is spent.”</w:t>
      </w:r>
    </w:p>
    <w:p w:rsidR="001C7F53" w:rsidRPr="00314AC0" w:rsidRDefault="001C7F53" w:rsidP="001C7F53">
      <w:pPr>
        <w:widowControl w:val="0"/>
        <w:autoSpaceDE w:val="0"/>
        <w:autoSpaceDN w:val="0"/>
        <w:adjustRightInd w:val="0"/>
        <w:rPr>
          <w:rFonts w:ascii="Calibri" w:hAnsi="Calibri" w:cs="Calibri"/>
          <w:b/>
          <w:sz w:val="22"/>
          <w:szCs w:val="22"/>
        </w:rPr>
      </w:pPr>
    </w:p>
    <w:p w:rsidR="0097098A" w:rsidRPr="00314AC0" w:rsidRDefault="0097098A" w:rsidP="00F151BB">
      <w:pPr>
        <w:rPr>
          <w:rFonts w:asciiTheme="majorHAnsi" w:hAnsiTheme="majorHAnsi"/>
          <w:sz w:val="22"/>
          <w:szCs w:val="22"/>
        </w:rPr>
      </w:pPr>
      <w:r w:rsidRPr="00314AC0">
        <w:rPr>
          <w:rFonts w:asciiTheme="majorHAnsi" w:hAnsiTheme="majorHAnsi"/>
          <w:sz w:val="22"/>
          <w:szCs w:val="22"/>
        </w:rPr>
        <w:t xml:space="preserve">The financial think-tank finds that BP, ConocoPhillips, ExxonMobil, Chevron, Total, </w:t>
      </w:r>
      <w:proofErr w:type="spellStart"/>
      <w:r w:rsidRPr="00314AC0">
        <w:rPr>
          <w:rFonts w:asciiTheme="majorHAnsi" w:hAnsiTheme="majorHAnsi"/>
          <w:sz w:val="22"/>
          <w:szCs w:val="22"/>
        </w:rPr>
        <w:t>Eni</w:t>
      </w:r>
      <w:proofErr w:type="spellEnd"/>
      <w:r w:rsidRPr="00314AC0">
        <w:rPr>
          <w:rFonts w:asciiTheme="majorHAnsi" w:hAnsiTheme="majorHAnsi"/>
          <w:sz w:val="22"/>
          <w:szCs w:val="22"/>
        </w:rPr>
        <w:t xml:space="preserve"> and Royal Dutch Shell are considering investing $</w:t>
      </w:r>
      <w:r w:rsidR="00FD6C18" w:rsidRPr="00314AC0">
        <w:rPr>
          <w:rFonts w:asciiTheme="majorHAnsi" w:hAnsiTheme="majorHAnsi"/>
          <w:sz w:val="22"/>
          <w:szCs w:val="22"/>
        </w:rPr>
        <w:t>3</w:t>
      </w:r>
      <w:r w:rsidR="00FD6C18">
        <w:rPr>
          <w:rFonts w:asciiTheme="majorHAnsi" w:hAnsiTheme="majorHAnsi"/>
          <w:sz w:val="22"/>
          <w:szCs w:val="22"/>
        </w:rPr>
        <w:t>57</w:t>
      </w:r>
      <w:r w:rsidR="00FD6C18" w:rsidRPr="00314AC0">
        <w:rPr>
          <w:rFonts w:asciiTheme="majorHAnsi" w:hAnsiTheme="majorHAnsi"/>
          <w:sz w:val="22"/>
          <w:szCs w:val="22"/>
        </w:rPr>
        <w:t xml:space="preserve"> </w:t>
      </w:r>
      <w:r w:rsidRPr="00314AC0">
        <w:rPr>
          <w:rFonts w:asciiTheme="majorHAnsi" w:hAnsiTheme="majorHAnsi"/>
          <w:sz w:val="22"/>
          <w:szCs w:val="22"/>
        </w:rPr>
        <w:t>billion over the next decade to develop new production in costly and</w:t>
      </w:r>
      <w:r w:rsidR="00B7466B">
        <w:rPr>
          <w:rFonts w:asciiTheme="majorHAnsi" w:hAnsiTheme="majorHAnsi"/>
          <w:sz w:val="22"/>
          <w:szCs w:val="22"/>
        </w:rPr>
        <w:t xml:space="preserve"> often</w:t>
      </w:r>
      <w:r w:rsidRPr="00314AC0">
        <w:rPr>
          <w:rFonts w:asciiTheme="majorHAnsi" w:hAnsiTheme="majorHAnsi"/>
          <w:sz w:val="22"/>
          <w:szCs w:val="22"/>
        </w:rPr>
        <w:t xml:space="preserve"> technically-challenging projects, ranging from oil sands in Alberta, Canada, to deep water finds in the Gulf of Mexico and discoveries in the Arctic. </w:t>
      </w:r>
    </w:p>
    <w:p w:rsidR="000828E8" w:rsidRPr="00314AC0" w:rsidRDefault="000828E8">
      <w:pPr>
        <w:rPr>
          <w:rFonts w:asciiTheme="majorHAnsi" w:hAnsiTheme="majorHAnsi"/>
          <w:sz w:val="22"/>
          <w:szCs w:val="22"/>
        </w:rPr>
      </w:pPr>
    </w:p>
    <w:p w:rsidR="000828E8" w:rsidRDefault="000828E8" w:rsidP="000828E8">
      <w:pPr>
        <w:widowControl w:val="0"/>
        <w:autoSpaceDE w:val="0"/>
        <w:autoSpaceDN w:val="0"/>
        <w:adjustRightInd w:val="0"/>
        <w:rPr>
          <w:rFonts w:ascii="Calibri" w:hAnsi="Calibri" w:cs="Calibri"/>
          <w:sz w:val="22"/>
          <w:szCs w:val="22"/>
        </w:rPr>
      </w:pPr>
      <w:r w:rsidRPr="00314AC0">
        <w:rPr>
          <w:rFonts w:ascii="Calibri" w:hAnsi="Calibri" w:cs="Calibri"/>
          <w:sz w:val="22"/>
          <w:szCs w:val="22"/>
        </w:rPr>
        <w:t>Both BP and Total are found to have particularly high exposure to deep water and ultra</w:t>
      </w:r>
      <w:r w:rsidR="00C218E1">
        <w:rPr>
          <w:rFonts w:ascii="Calibri" w:hAnsi="Calibri" w:cs="Calibri"/>
          <w:sz w:val="22"/>
          <w:szCs w:val="22"/>
        </w:rPr>
        <w:t>-</w:t>
      </w:r>
      <w:r w:rsidRPr="00314AC0">
        <w:rPr>
          <w:rFonts w:ascii="Calibri" w:hAnsi="Calibri" w:cs="Calibri"/>
          <w:sz w:val="22"/>
          <w:szCs w:val="22"/>
        </w:rPr>
        <w:t xml:space="preserve">deep water deposits </w:t>
      </w:r>
      <w:r w:rsidR="0056788C" w:rsidRPr="00314AC0">
        <w:rPr>
          <w:rFonts w:ascii="Calibri" w:hAnsi="Calibri" w:cs="Calibri"/>
          <w:sz w:val="22"/>
          <w:szCs w:val="22"/>
        </w:rPr>
        <w:t>through 2025</w:t>
      </w:r>
      <w:r w:rsidR="00570749" w:rsidRPr="00314AC0">
        <w:rPr>
          <w:rFonts w:ascii="Calibri" w:hAnsi="Calibri" w:cs="Calibri"/>
          <w:sz w:val="22"/>
          <w:szCs w:val="22"/>
        </w:rPr>
        <w:t>, while Conoco</w:t>
      </w:r>
      <w:r w:rsidR="008B5424" w:rsidRPr="00314AC0">
        <w:rPr>
          <w:rFonts w:ascii="Calibri" w:hAnsi="Calibri" w:cs="Calibri"/>
          <w:sz w:val="22"/>
          <w:szCs w:val="22"/>
        </w:rPr>
        <w:t>Phi</w:t>
      </w:r>
      <w:r w:rsidR="00570749" w:rsidRPr="00314AC0">
        <w:rPr>
          <w:rFonts w:ascii="Calibri" w:hAnsi="Calibri" w:cs="Calibri"/>
          <w:sz w:val="22"/>
          <w:szCs w:val="22"/>
        </w:rPr>
        <w:t>l</w:t>
      </w:r>
      <w:r w:rsidR="008B5424" w:rsidRPr="00314AC0">
        <w:rPr>
          <w:rFonts w:ascii="Calibri" w:hAnsi="Calibri" w:cs="Calibri"/>
          <w:sz w:val="22"/>
          <w:szCs w:val="22"/>
        </w:rPr>
        <w:t xml:space="preserve">lips </w:t>
      </w:r>
      <w:r w:rsidRPr="00314AC0">
        <w:rPr>
          <w:rFonts w:ascii="Calibri" w:hAnsi="Calibri" w:cs="Calibri"/>
          <w:sz w:val="22"/>
          <w:szCs w:val="22"/>
        </w:rPr>
        <w:t xml:space="preserve">is unusually exposed to </w:t>
      </w:r>
      <w:r w:rsidR="00314AC0">
        <w:rPr>
          <w:rFonts w:ascii="Calibri" w:hAnsi="Calibri" w:cs="Calibri"/>
          <w:sz w:val="22"/>
          <w:szCs w:val="22"/>
        </w:rPr>
        <w:t>A</w:t>
      </w:r>
      <w:r w:rsidRPr="00314AC0">
        <w:rPr>
          <w:rFonts w:ascii="Calibri" w:hAnsi="Calibri" w:cs="Calibri"/>
          <w:sz w:val="22"/>
          <w:szCs w:val="22"/>
        </w:rPr>
        <w:t>rctic projects</w:t>
      </w:r>
      <w:r w:rsidR="00084568">
        <w:rPr>
          <w:rFonts w:ascii="Calibri" w:hAnsi="Calibri" w:cs="Calibri"/>
          <w:sz w:val="22"/>
          <w:szCs w:val="22"/>
        </w:rPr>
        <w:t>.</w:t>
      </w:r>
      <w:r w:rsidR="00AF06C2">
        <w:rPr>
          <w:rFonts w:ascii="Calibri" w:hAnsi="Calibri" w:cs="Calibri"/>
          <w:sz w:val="22"/>
          <w:szCs w:val="22"/>
        </w:rPr>
        <w:t xml:space="preserve"> </w:t>
      </w:r>
      <w:r w:rsidR="00DE1CB6" w:rsidRPr="00314AC0">
        <w:rPr>
          <w:rFonts w:ascii="Calibri" w:hAnsi="Calibri" w:cs="Calibri"/>
          <w:sz w:val="22"/>
          <w:szCs w:val="22"/>
        </w:rPr>
        <w:t>High carbon-emitting</w:t>
      </w:r>
      <w:r w:rsidRPr="00314AC0">
        <w:rPr>
          <w:rFonts w:ascii="Calibri" w:hAnsi="Calibri" w:cs="Calibri"/>
          <w:sz w:val="22"/>
          <w:szCs w:val="22"/>
        </w:rPr>
        <w:t xml:space="preserve"> oil sands projects account for 27% and 26% respectively of Shell and Conoco’s</w:t>
      </w:r>
      <w:r w:rsidR="005D5042" w:rsidRPr="00314AC0">
        <w:rPr>
          <w:rFonts w:ascii="Calibri" w:hAnsi="Calibri" w:cs="Calibri"/>
          <w:sz w:val="22"/>
          <w:szCs w:val="22"/>
        </w:rPr>
        <w:t xml:space="preserve"> potential</w:t>
      </w:r>
      <w:r w:rsidRPr="00314AC0">
        <w:rPr>
          <w:rFonts w:ascii="Calibri" w:hAnsi="Calibri" w:cs="Calibri"/>
          <w:sz w:val="22"/>
          <w:szCs w:val="22"/>
        </w:rPr>
        <w:t xml:space="preserve"> high-cost development spend.</w:t>
      </w:r>
    </w:p>
    <w:p w:rsidR="00B64E68" w:rsidRDefault="00B64E68" w:rsidP="000828E8">
      <w:pPr>
        <w:widowControl w:val="0"/>
        <w:autoSpaceDE w:val="0"/>
        <w:autoSpaceDN w:val="0"/>
        <w:adjustRightInd w:val="0"/>
        <w:rPr>
          <w:rFonts w:ascii="Calibri" w:hAnsi="Calibri" w:cs="Calibri"/>
          <w:sz w:val="22"/>
          <w:szCs w:val="22"/>
        </w:rPr>
      </w:pPr>
    </w:p>
    <w:p w:rsidR="00B64E68" w:rsidRDefault="00BD0219" w:rsidP="000828E8">
      <w:pPr>
        <w:widowControl w:val="0"/>
        <w:autoSpaceDE w:val="0"/>
        <w:autoSpaceDN w:val="0"/>
        <w:adjustRightInd w:val="0"/>
        <w:rPr>
          <w:rFonts w:ascii="Calibri" w:hAnsi="Calibri" w:cs="Calibri"/>
          <w:sz w:val="22"/>
          <w:szCs w:val="22"/>
        </w:rPr>
      </w:pPr>
      <w:r>
        <w:rPr>
          <w:noProof/>
          <w:lang w:eastAsia="en-US"/>
        </w:rPr>
        <w:drawing>
          <wp:inline distT="0" distB="0" distL="0" distR="0">
            <wp:extent cx="5270500" cy="1592130"/>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70500" cy="1592130"/>
                    </a:xfrm>
                    <a:prstGeom prst="rect">
                      <a:avLst/>
                    </a:prstGeom>
                    <a:noFill/>
                    <a:ln>
                      <a:noFill/>
                    </a:ln>
                  </pic:spPr>
                </pic:pic>
              </a:graphicData>
            </a:graphic>
          </wp:inline>
        </w:drawing>
      </w:r>
    </w:p>
    <w:p w:rsidR="003952E9" w:rsidRPr="00314AC0" w:rsidRDefault="003952E9" w:rsidP="000828E8">
      <w:pPr>
        <w:widowControl w:val="0"/>
        <w:autoSpaceDE w:val="0"/>
        <w:autoSpaceDN w:val="0"/>
        <w:adjustRightInd w:val="0"/>
        <w:rPr>
          <w:rFonts w:ascii="Calibri" w:hAnsi="Calibri" w:cs="Calibri"/>
          <w:sz w:val="22"/>
          <w:szCs w:val="22"/>
        </w:rPr>
      </w:pPr>
    </w:p>
    <w:p w:rsidR="00365082" w:rsidRPr="00314AC0" w:rsidRDefault="00365082" w:rsidP="00365082">
      <w:pPr>
        <w:tabs>
          <w:tab w:val="left" w:pos="2850"/>
        </w:tabs>
        <w:rPr>
          <w:rFonts w:asciiTheme="majorHAnsi" w:hAnsiTheme="majorHAnsi"/>
          <w:sz w:val="22"/>
          <w:szCs w:val="22"/>
        </w:rPr>
      </w:pPr>
      <w:r w:rsidRPr="00314AC0">
        <w:rPr>
          <w:rFonts w:asciiTheme="majorHAnsi" w:hAnsiTheme="majorHAnsi"/>
          <w:sz w:val="22"/>
          <w:szCs w:val="22"/>
        </w:rPr>
        <w:t>“This analysis demonstrates the worsening cost environment in the oil industry, and the extent to which producers are chasing volume over value at the expense of return</w:t>
      </w:r>
      <w:r>
        <w:rPr>
          <w:rFonts w:asciiTheme="majorHAnsi" w:hAnsiTheme="majorHAnsi"/>
          <w:sz w:val="22"/>
          <w:szCs w:val="22"/>
        </w:rPr>
        <w:t>s,</w:t>
      </w:r>
      <w:r w:rsidRPr="00314AC0">
        <w:rPr>
          <w:rFonts w:asciiTheme="majorHAnsi" w:hAnsiTheme="majorHAnsi"/>
          <w:sz w:val="22"/>
          <w:szCs w:val="22"/>
        </w:rPr>
        <w:t xml:space="preserve">” </w:t>
      </w:r>
      <w:r>
        <w:rPr>
          <w:rFonts w:asciiTheme="majorHAnsi" w:hAnsiTheme="majorHAnsi"/>
          <w:sz w:val="22"/>
          <w:szCs w:val="22"/>
        </w:rPr>
        <w:t>s</w:t>
      </w:r>
      <w:r w:rsidRPr="00314AC0">
        <w:rPr>
          <w:rFonts w:asciiTheme="majorHAnsi" w:hAnsiTheme="majorHAnsi"/>
          <w:sz w:val="22"/>
          <w:szCs w:val="22"/>
        </w:rPr>
        <w:t>aid Andrew Grant, CTI Analyst. “Investors will ask whether it is prudent for oil companies to bet</w:t>
      </w:r>
      <w:r w:rsidR="00FD6C18">
        <w:rPr>
          <w:rFonts w:asciiTheme="majorHAnsi" w:hAnsiTheme="majorHAnsi"/>
          <w:sz w:val="22"/>
          <w:szCs w:val="22"/>
        </w:rPr>
        <w:t xml:space="preserve"> </w:t>
      </w:r>
      <w:r w:rsidRPr="00314AC0">
        <w:rPr>
          <w:rFonts w:asciiTheme="majorHAnsi" w:hAnsiTheme="majorHAnsi"/>
          <w:sz w:val="22"/>
          <w:szCs w:val="22"/>
        </w:rPr>
        <w:t>on ever higher oil prices when they could be returning cash to shareholders.”</w:t>
      </w:r>
    </w:p>
    <w:p w:rsidR="00365082" w:rsidRPr="00314AC0" w:rsidRDefault="00365082" w:rsidP="00365082">
      <w:pPr>
        <w:tabs>
          <w:tab w:val="left" w:pos="2850"/>
        </w:tabs>
        <w:rPr>
          <w:rFonts w:asciiTheme="majorHAnsi" w:hAnsiTheme="majorHAnsi"/>
          <w:sz w:val="22"/>
          <w:szCs w:val="22"/>
        </w:rPr>
      </w:pPr>
    </w:p>
    <w:p w:rsidR="00B1775B" w:rsidRPr="00314AC0" w:rsidRDefault="00DE1CB6" w:rsidP="00DE1CB6">
      <w:pPr>
        <w:rPr>
          <w:rFonts w:asciiTheme="majorHAnsi" w:hAnsiTheme="majorHAnsi"/>
          <w:sz w:val="22"/>
          <w:szCs w:val="22"/>
        </w:rPr>
      </w:pPr>
      <w:r w:rsidRPr="00314AC0">
        <w:rPr>
          <w:rFonts w:asciiTheme="majorHAnsi" w:hAnsiTheme="majorHAnsi"/>
          <w:sz w:val="22"/>
          <w:szCs w:val="22"/>
        </w:rPr>
        <w:t>Recently</w:t>
      </w:r>
      <w:r w:rsidR="0056788C" w:rsidRPr="00314AC0">
        <w:rPr>
          <w:rFonts w:asciiTheme="majorHAnsi" w:hAnsiTheme="majorHAnsi"/>
          <w:sz w:val="22"/>
          <w:szCs w:val="22"/>
        </w:rPr>
        <w:t>,</w:t>
      </w:r>
      <w:r w:rsidRPr="00314AC0">
        <w:rPr>
          <w:rFonts w:asciiTheme="majorHAnsi" w:hAnsiTheme="majorHAnsi"/>
          <w:sz w:val="22"/>
          <w:szCs w:val="22"/>
        </w:rPr>
        <w:t xml:space="preserve"> some oil majors have said their capex will either need to fall or</w:t>
      </w:r>
      <w:r w:rsidR="005D5042" w:rsidRPr="00314AC0">
        <w:rPr>
          <w:rFonts w:asciiTheme="majorHAnsi" w:hAnsiTheme="majorHAnsi"/>
          <w:sz w:val="22"/>
          <w:szCs w:val="22"/>
        </w:rPr>
        <w:t xml:space="preserve"> stay flat over the next few years</w:t>
      </w:r>
      <w:r w:rsidRPr="00314AC0">
        <w:rPr>
          <w:rFonts w:asciiTheme="majorHAnsi" w:hAnsiTheme="majorHAnsi"/>
          <w:sz w:val="22"/>
          <w:szCs w:val="22"/>
        </w:rPr>
        <w:t xml:space="preserve"> to compensate for dwindling returns. </w:t>
      </w:r>
      <w:r w:rsidR="005D5042" w:rsidRPr="00314AC0">
        <w:rPr>
          <w:rFonts w:ascii="Calibri" w:hAnsi="Calibri" w:cs="Calibri"/>
          <w:sz w:val="22"/>
          <w:szCs w:val="22"/>
        </w:rPr>
        <w:t>In the current</w:t>
      </w:r>
      <w:r w:rsidR="0056788C" w:rsidRPr="00314AC0">
        <w:rPr>
          <w:rFonts w:ascii="Calibri" w:hAnsi="Calibri" w:cs="Calibri"/>
          <w:sz w:val="22"/>
          <w:szCs w:val="22"/>
        </w:rPr>
        <w:t>,</w:t>
      </w:r>
      <w:r w:rsidR="005D5042" w:rsidRPr="00314AC0">
        <w:rPr>
          <w:rFonts w:ascii="Calibri" w:hAnsi="Calibri" w:cs="Calibri"/>
          <w:sz w:val="22"/>
          <w:szCs w:val="22"/>
        </w:rPr>
        <w:t xml:space="preserve"> high-</w:t>
      </w:r>
      <w:r w:rsidRPr="00314AC0">
        <w:rPr>
          <w:rFonts w:ascii="Calibri" w:hAnsi="Calibri" w:cs="Calibri"/>
          <w:sz w:val="22"/>
          <w:szCs w:val="22"/>
        </w:rPr>
        <w:t xml:space="preserve">cost inflation environment </w:t>
      </w:r>
      <w:r w:rsidR="0056788C" w:rsidRPr="00314AC0">
        <w:rPr>
          <w:rFonts w:ascii="Calibri" w:hAnsi="Calibri" w:cs="Calibri"/>
          <w:sz w:val="22"/>
          <w:szCs w:val="22"/>
        </w:rPr>
        <w:t xml:space="preserve">with </w:t>
      </w:r>
      <w:r w:rsidRPr="00314AC0">
        <w:rPr>
          <w:rFonts w:ascii="Calibri" w:hAnsi="Calibri" w:cs="Calibri"/>
          <w:sz w:val="22"/>
          <w:szCs w:val="22"/>
        </w:rPr>
        <w:t>range-bound oil prices, investors are putting pressure on big oil to re-invest less cash on risky projects and return</w:t>
      </w:r>
      <w:r w:rsidR="005D5042" w:rsidRPr="00314AC0">
        <w:rPr>
          <w:rFonts w:ascii="Calibri" w:hAnsi="Calibri" w:cs="Calibri"/>
          <w:sz w:val="22"/>
          <w:szCs w:val="22"/>
        </w:rPr>
        <w:t xml:space="preserve"> </w:t>
      </w:r>
      <w:r w:rsidRPr="00314AC0">
        <w:rPr>
          <w:rFonts w:ascii="Calibri" w:hAnsi="Calibri" w:cs="Calibri"/>
          <w:sz w:val="22"/>
          <w:szCs w:val="22"/>
        </w:rPr>
        <w:t>more to shareholders</w:t>
      </w:r>
      <w:r w:rsidRPr="00314AC0">
        <w:rPr>
          <w:rFonts w:asciiTheme="majorHAnsi" w:hAnsiTheme="majorHAnsi"/>
          <w:sz w:val="22"/>
          <w:szCs w:val="22"/>
        </w:rPr>
        <w:t xml:space="preserve">. </w:t>
      </w:r>
    </w:p>
    <w:p w:rsidR="00B1775B" w:rsidRPr="00314AC0" w:rsidRDefault="00B1775B" w:rsidP="00DE1CB6">
      <w:pPr>
        <w:rPr>
          <w:rFonts w:asciiTheme="majorHAnsi" w:hAnsiTheme="majorHAnsi"/>
          <w:sz w:val="22"/>
          <w:szCs w:val="22"/>
        </w:rPr>
      </w:pPr>
    </w:p>
    <w:p w:rsidR="00123333" w:rsidRDefault="00123333" w:rsidP="00123333">
      <w:pPr>
        <w:rPr>
          <w:rFonts w:asciiTheme="majorHAnsi" w:hAnsiTheme="majorHAnsi"/>
          <w:sz w:val="22"/>
          <w:szCs w:val="22"/>
          <w:lang w:val="en-GB"/>
        </w:rPr>
      </w:pPr>
      <w:r w:rsidRPr="00A928CB">
        <w:rPr>
          <w:rFonts w:asciiTheme="majorHAnsi" w:hAnsiTheme="majorHAnsi"/>
          <w:sz w:val="22"/>
          <w:szCs w:val="22"/>
          <w:lang w:val="en-GB"/>
        </w:rPr>
        <w:t>Some majors have start</w:t>
      </w:r>
      <w:r w:rsidR="00612526" w:rsidRPr="00A928CB">
        <w:rPr>
          <w:rFonts w:asciiTheme="majorHAnsi" w:hAnsiTheme="majorHAnsi"/>
          <w:sz w:val="22"/>
          <w:szCs w:val="22"/>
          <w:lang w:val="en-GB"/>
        </w:rPr>
        <w:t>ed</w:t>
      </w:r>
      <w:r w:rsidRPr="00A928CB">
        <w:rPr>
          <w:rFonts w:asciiTheme="majorHAnsi" w:hAnsiTheme="majorHAnsi"/>
          <w:sz w:val="22"/>
          <w:szCs w:val="22"/>
          <w:lang w:val="en-GB"/>
        </w:rPr>
        <w:t xml:space="preserve"> cutting already</w:t>
      </w:r>
      <w:r w:rsidR="00084568" w:rsidRPr="00A928CB">
        <w:rPr>
          <w:rFonts w:asciiTheme="majorHAnsi" w:hAnsiTheme="majorHAnsi"/>
          <w:sz w:val="22"/>
          <w:szCs w:val="22"/>
          <w:lang w:val="en-GB"/>
        </w:rPr>
        <w:t>.</w:t>
      </w:r>
      <w:r w:rsidRPr="00A928CB">
        <w:rPr>
          <w:rFonts w:asciiTheme="majorHAnsi" w:hAnsiTheme="majorHAnsi"/>
          <w:sz w:val="22"/>
          <w:szCs w:val="22"/>
          <w:lang w:val="en-GB"/>
        </w:rPr>
        <w:t xml:space="preserve"> In the oil sands </w:t>
      </w:r>
      <w:r w:rsidR="00084568" w:rsidRPr="00A928CB">
        <w:rPr>
          <w:rFonts w:asciiTheme="majorHAnsi" w:hAnsiTheme="majorHAnsi"/>
          <w:sz w:val="22"/>
          <w:szCs w:val="22"/>
          <w:lang w:val="en-GB"/>
        </w:rPr>
        <w:t xml:space="preserve">sector </w:t>
      </w:r>
      <w:r w:rsidR="00AF06C2" w:rsidRPr="00A928CB">
        <w:rPr>
          <w:rFonts w:asciiTheme="majorHAnsi" w:hAnsiTheme="majorHAnsi"/>
          <w:sz w:val="22"/>
          <w:szCs w:val="22"/>
          <w:lang w:val="en-GB"/>
        </w:rPr>
        <w:t>so far this year</w:t>
      </w:r>
      <w:r w:rsidRPr="00A928CB">
        <w:rPr>
          <w:rFonts w:asciiTheme="majorHAnsi" w:hAnsiTheme="majorHAnsi"/>
          <w:sz w:val="22"/>
          <w:szCs w:val="22"/>
          <w:lang w:val="en-GB"/>
        </w:rPr>
        <w:t>, Total and Suncor have shelved the $11b</w:t>
      </w:r>
      <w:r w:rsidR="00612526" w:rsidRPr="00A928CB">
        <w:rPr>
          <w:rFonts w:asciiTheme="majorHAnsi" w:hAnsiTheme="majorHAnsi"/>
          <w:sz w:val="22"/>
          <w:szCs w:val="22"/>
          <w:lang w:val="en-GB"/>
        </w:rPr>
        <w:t>l</w:t>
      </w:r>
      <w:r w:rsidRPr="00A928CB">
        <w:rPr>
          <w:rFonts w:asciiTheme="majorHAnsi" w:hAnsiTheme="majorHAnsi"/>
          <w:sz w:val="22"/>
          <w:szCs w:val="22"/>
          <w:lang w:val="en-GB"/>
        </w:rPr>
        <w:t xml:space="preserve">n </w:t>
      </w:r>
      <w:r w:rsidR="00C218E1" w:rsidRPr="00A928CB">
        <w:rPr>
          <w:rFonts w:asciiTheme="majorHAnsi" w:hAnsiTheme="majorHAnsi"/>
          <w:sz w:val="22"/>
          <w:szCs w:val="22"/>
        </w:rPr>
        <w:t>Joslyn</w:t>
      </w:r>
      <w:r w:rsidRPr="00A928CB">
        <w:rPr>
          <w:rFonts w:asciiTheme="majorHAnsi" w:hAnsiTheme="majorHAnsi"/>
          <w:sz w:val="22"/>
          <w:szCs w:val="22"/>
          <w:lang w:val="en-GB"/>
        </w:rPr>
        <w:t xml:space="preserve"> project</w:t>
      </w:r>
      <w:r w:rsidR="006B41F7" w:rsidRPr="00A928CB">
        <w:rPr>
          <w:rStyle w:val="EndnoteReference"/>
          <w:rFonts w:asciiTheme="majorHAnsi" w:hAnsiTheme="majorHAnsi"/>
          <w:sz w:val="22"/>
          <w:szCs w:val="22"/>
          <w:lang w:val="en-GB"/>
        </w:rPr>
        <w:endnoteReference w:id="2"/>
      </w:r>
      <w:r w:rsidRPr="00A928CB">
        <w:rPr>
          <w:rFonts w:asciiTheme="majorHAnsi" w:hAnsiTheme="majorHAnsi"/>
          <w:sz w:val="22"/>
          <w:szCs w:val="22"/>
          <w:lang w:val="en-GB"/>
        </w:rPr>
        <w:t xml:space="preserve"> and</w:t>
      </w:r>
      <w:r w:rsidR="00612526" w:rsidRPr="00A928CB">
        <w:rPr>
          <w:rFonts w:asciiTheme="majorHAnsi" w:hAnsiTheme="majorHAnsi"/>
          <w:sz w:val="22"/>
          <w:szCs w:val="22"/>
          <w:lang w:val="en-GB"/>
        </w:rPr>
        <w:t xml:space="preserve"> Royal Dutch Shell</w:t>
      </w:r>
      <w:r w:rsidRPr="00A928CB">
        <w:rPr>
          <w:rFonts w:asciiTheme="majorHAnsi" w:hAnsiTheme="majorHAnsi"/>
          <w:sz w:val="22"/>
          <w:szCs w:val="22"/>
          <w:lang w:val="en-GB"/>
        </w:rPr>
        <w:t xml:space="preserve"> put on hold its </w:t>
      </w:r>
      <w:r w:rsidR="00C218E1" w:rsidRPr="00A928CB">
        <w:rPr>
          <w:rFonts w:asciiTheme="majorHAnsi" w:hAnsiTheme="majorHAnsi"/>
          <w:sz w:val="22"/>
          <w:szCs w:val="22"/>
        </w:rPr>
        <w:t>Pierre River</w:t>
      </w:r>
      <w:r w:rsidRPr="00A928CB">
        <w:rPr>
          <w:rFonts w:asciiTheme="majorHAnsi" w:hAnsiTheme="majorHAnsi"/>
          <w:sz w:val="22"/>
          <w:szCs w:val="22"/>
          <w:lang w:val="en-GB"/>
        </w:rPr>
        <w:t xml:space="preserve"> project</w:t>
      </w:r>
      <w:r w:rsidR="006B41F7" w:rsidRPr="00A928CB">
        <w:rPr>
          <w:rStyle w:val="EndnoteReference"/>
          <w:rFonts w:asciiTheme="majorHAnsi" w:hAnsiTheme="majorHAnsi"/>
          <w:sz w:val="22"/>
          <w:szCs w:val="22"/>
          <w:lang w:val="en-GB"/>
        </w:rPr>
        <w:endnoteReference w:id="3"/>
      </w:r>
      <w:r w:rsidRPr="00A928CB">
        <w:rPr>
          <w:rFonts w:asciiTheme="majorHAnsi" w:hAnsiTheme="majorHAnsi"/>
          <w:sz w:val="22"/>
          <w:szCs w:val="22"/>
          <w:lang w:val="en-GB"/>
        </w:rPr>
        <w:t xml:space="preserve">. </w:t>
      </w:r>
      <w:r w:rsidR="00AF06C2" w:rsidRPr="00A928CB">
        <w:rPr>
          <w:rFonts w:asciiTheme="majorHAnsi" w:hAnsiTheme="majorHAnsi"/>
          <w:sz w:val="22"/>
          <w:szCs w:val="22"/>
          <w:lang w:val="en-GB"/>
        </w:rPr>
        <w:t>Regarding d</w:t>
      </w:r>
      <w:r w:rsidRPr="00A928CB">
        <w:rPr>
          <w:rFonts w:asciiTheme="majorHAnsi" w:hAnsiTheme="majorHAnsi"/>
          <w:sz w:val="22"/>
          <w:szCs w:val="22"/>
          <w:lang w:val="en-GB"/>
        </w:rPr>
        <w:t>eep</w:t>
      </w:r>
      <w:r w:rsidR="00D43B4B" w:rsidRPr="00A928CB">
        <w:rPr>
          <w:rFonts w:asciiTheme="majorHAnsi" w:hAnsiTheme="majorHAnsi"/>
          <w:sz w:val="22"/>
          <w:szCs w:val="22"/>
          <w:lang w:val="en-GB"/>
        </w:rPr>
        <w:t>-</w:t>
      </w:r>
      <w:r w:rsidRPr="00A928CB">
        <w:rPr>
          <w:rFonts w:asciiTheme="majorHAnsi" w:hAnsiTheme="majorHAnsi"/>
          <w:sz w:val="22"/>
          <w:szCs w:val="22"/>
          <w:lang w:val="en-GB"/>
        </w:rPr>
        <w:t>water projects</w:t>
      </w:r>
      <w:r w:rsidR="00084568" w:rsidRPr="00A928CB">
        <w:rPr>
          <w:rFonts w:asciiTheme="majorHAnsi" w:hAnsiTheme="majorHAnsi"/>
          <w:sz w:val="22"/>
          <w:szCs w:val="22"/>
          <w:lang w:val="en-GB"/>
        </w:rPr>
        <w:t>,</w:t>
      </w:r>
      <w:r w:rsidRPr="00A928CB">
        <w:rPr>
          <w:rFonts w:asciiTheme="majorHAnsi" w:hAnsiTheme="majorHAnsi"/>
          <w:sz w:val="22"/>
          <w:szCs w:val="22"/>
          <w:lang w:val="en-GB"/>
        </w:rPr>
        <w:t xml:space="preserve"> BP </w:t>
      </w:r>
      <w:r w:rsidR="00AF06C2" w:rsidRPr="00A928CB">
        <w:rPr>
          <w:rFonts w:asciiTheme="majorHAnsi" w:hAnsiTheme="majorHAnsi"/>
          <w:sz w:val="22"/>
          <w:szCs w:val="22"/>
          <w:lang w:val="en-GB"/>
        </w:rPr>
        <w:t xml:space="preserve">has delayed/ cancelled </w:t>
      </w:r>
      <w:r w:rsidRPr="00A928CB">
        <w:rPr>
          <w:rFonts w:asciiTheme="majorHAnsi" w:hAnsiTheme="majorHAnsi"/>
          <w:sz w:val="22"/>
          <w:szCs w:val="22"/>
          <w:lang w:val="en-GB"/>
        </w:rPr>
        <w:t xml:space="preserve">its </w:t>
      </w:r>
      <w:r w:rsidR="00C218E1" w:rsidRPr="00A928CB">
        <w:rPr>
          <w:rFonts w:asciiTheme="majorHAnsi" w:hAnsiTheme="majorHAnsi"/>
          <w:sz w:val="22"/>
          <w:szCs w:val="22"/>
        </w:rPr>
        <w:t>Mad Dog</w:t>
      </w:r>
      <w:r w:rsidRPr="00A928CB">
        <w:rPr>
          <w:rFonts w:asciiTheme="majorHAnsi" w:hAnsiTheme="majorHAnsi"/>
          <w:sz w:val="22"/>
          <w:szCs w:val="22"/>
          <w:lang w:val="en-GB"/>
        </w:rPr>
        <w:t xml:space="preserve"> extension in the Gulf of Mexico</w:t>
      </w:r>
      <w:r w:rsidR="006B41F7" w:rsidRPr="00A928CB">
        <w:rPr>
          <w:rStyle w:val="EndnoteReference"/>
          <w:rFonts w:asciiTheme="majorHAnsi" w:hAnsiTheme="majorHAnsi"/>
          <w:sz w:val="22"/>
          <w:szCs w:val="22"/>
          <w:lang w:val="en-GB"/>
        </w:rPr>
        <w:endnoteReference w:id="4"/>
      </w:r>
      <w:r w:rsidRPr="00A928CB">
        <w:rPr>
          <w:rFonts w:asciiTheme="majorHAnsi" w:hAnsiTheme="majorHAnsi"/>
          <w:sz w:val="22"/>
          <w:szCs w:val="22"/>
          <w:lang w:val="en-GB"/>
        </w:rPr>
        <w:t xml:space="preserve">, and Chevron </w:t>
      </w:r>
      <w:r w:rsidR="00AF06C2" w:rsidRPr="00A928CB">
        <w:rPr>
          <w:rFonts w:asciiTheme="majorHAnsi" w:hAnsiTheme="majorHAnsi"/>
          <w:sz w:val="22"/>
          <w:szCs w:val="22"/>
          <w:lang w:val="en-GB"/>
        </w:rPr>
        <w:t xml:space="preserve">is </w:t>
      </w:r>
      <w:r w:rsidRPr="00A928CB">
        <w:rPr>
          <w:rFonts w:asciiTheme="majorHAnsi" w:hAnsiTheme="majorHAnsi"/>
          <w:sz w:val="22"/>
          <w:szCs w:val="22"/>
          <w:lang w:val="en-GB"/>
        </w:rPr>
        <w:t>reviewing its $10b</w:t>
      </w:r>
      <w:r w:rsidR="00612526" w:rsidRPr="00A928CB">
        <w:rPr>
          <w:rFonts w:asciiTheme="majorHAnsi" w:hAnsiTheme="majorHAnsi"/>
          <w:sz w:val="22"/>
          <w:szCs w:val="22"/>
          <w:lang w:val="en-GB"/>
        </w:rPr>
        <w:t>l</w:t>
      </w:r>
      <w:r w:rsidRPr="00A928CB">
        <w:rPr>
          <w:rFonts w:asciiTheme="majorHAnsi" w:hAnsiTheme="majorHAnsi"/>
          <w:sz w:val="22"/>
          <w:szCs w:val="22"/>
          <w:lang w:val="en-GB"/>
        </w:rPr>
        <w:t xml:space="preserve">n </w:t>
      </w:r>
      <w:proofErr w:type="spellStart"/>
      <w:r w:rsidRPr="00A928CB">
        <w:rPr>
          <w:rFonts w:asciiTheme="majorHAnsi" w:hAnsiTheme="majorHAnsi"/>
          <w:sz w:val="22"/>
          <w:szCs w:val="22"/>
          <w:lang w:val="en-GB"/>
        </w:rPr>
        <w:t>Rosebank</w:t>
      </w:r>
      <w:proofErr w:type="spellEnd"/>
      <w:r w:rsidRPr="00A928CB">
        <w:rPr>
          <w:rFonts w:asciiTheme="majorHAnsi" w:hAnsiTheme="majorHAnsi"/>
          <w:sz w:val="22"/>
          <w:szCs w:val="22"/>
          <w:lang w:val="en-GB"/>
        </w:rPr>
        <w:t xml:space="preserve"> project in</w:t>
      </w:r>
      <w:r w:rsidR="00D43B4B" w:rsidRPr="00A928CB">
        <w:rPr>
          <w:rFonts w:asciiTheme="majorHAnsi" w:hAnsiTheme="majorHAnsi"/>
          <w:sz w:val="22"/>
          <w:szCs w:val="22"/>
          <w:lang w:val="en-GB"/>
        </w:rPr>
        <w:t xml:space="preserve"> </w:t>
      </w:r>
      <w:r w:rsidRPr="00A928CB">
        <w:rPr>
          <w:rFonts w:asciiTheme="majorHAnsi" w:hAnsiTheme="majorHAnsi"/>
          <w:sz w:val="22"/>
          <w:szCs w:val="22"/>
          <w:lang w:val="en-GB"/>
        </w:rPr>
        <w:t>the North Sea</w:t>
      </w:r>
      <w:r w:rsidR="006B41F7" w:rsidRPr="00A928CB">
        <w:rPr>
          <w:rStyle w:val="EndnoteReference"/>
          <w:rFonts w:asciiTheme="majorHAnsi" w:hAnsiTheme="majorHAnsi"/>
          <w:sz w:val="22"/>
          <w:szCs w:val="22"/>
          <w:lang w:val="en-GB"/>
        </w:rPr>
        <w:endnoteReference w:id="5"/>
      </w:r>
      <w:r w:rsidRPr="00A928CB">
        <w:rPr>
          <w:rFonts w:asciiTheme="majorHAnsi" w:hAnsiTheme="majorHAnsi"/>
          <w:sz w:val="22"/>
          <w:szCs w:val="22"/>
          <w:lang w:val="en-GB"/>
        </w:rPr>
        <w:t xml:space="preserve">. In the Arctic, Statoil and </w:t>
      </w:r>
      <w:proofErr w:type="spellStart"/>
      <w:r w:rsidR="00C218E1" w:rsidRPr="00A928CB">
        <w:rPr>
          <w:rFonts w:asciiTheme="majorHAnsi" w:hAnsiTheme="majorHAnsi"/>
          <w:sz w:val="22"/>
          <w:szCs w:val="22"/>
          <w:lang w:val="en-GB"/>
        </w:rPr>
        <w:t>Eni</w:t>
      </w:r>
      <w:proofErr w:type="spellEnd"/>
      <w:r w:rsidR="00C218E1" w:rsidRPr="00A928CB">
        <w:rPr>
          <w:rFonts w:asciiTheme="majorHAnsi" w:hAnsiTheme="majorHAnsi"/>
          <w:sz w:val="22"/>
          <w:szCs w:val="22"/>
          <w:lang w:val="en-GB"/>
        </w:rPr>
        <w:t xml:space="preserve"> </w:t>
      </w:r>
      <w:r w:rsidRPr="00A928CB">
        <w:rPr>
          <w:rFonts w:asciiTheme="majorHAnsi" w:hAnsiTheme="majorHAnsi"/>
          <w:sz w:val="22"/>
          <w:szCs w:val="22"/>
          <w:lang w:val="en-GB"/>
        </w:rPr>
        <w:t>have deferred a decision on the $15.5b</w:t>
      </w:r>
      <w:r w:rsidR="00612526" w:rsidRPr="00A928CB">
        <w:rPr>
          <w:rFonts w:asciiTheme="majorHAnsi" w:hAnsiTheme="majorHAnsi"/>
          <w:sz w:val="22"/>
          <w:szCs w:val="22"/>
          <w:lang w:val="en-GB"/>
        </w:rPr>
        <w:t>l</w:t>
      </w:r>
      <w:r w:rsidRPr="00A928CB">
        <w:rPr>
          <w:rFonts w:asciiTheme="majorHAnsi" w:hAnsiTheme="majorHAnsi"/>
          <w:sz w:val="22"/>
          <w:szCs w:val="22"/>
          <w:lang w:val="en-GB"/>
        </w:rPr>
        <w:t xml:space="preserve">n </w:t>
      </w:r>
      <w:r w:rsidR="00C218E1" w:rsidRPr="00A928CB">
        <w:rPr>
          <w:rFonts w:asciiTheme="majorHAnsi" w:hAnsiTheme="majorHAnsi"/>
          <w:sz w:val="22"/>
          <w:szCs w:val="22"/>
        </w:rPr>
        <w:t xml:space="preserve">Johan </w:t>
      </w:r>
      <w:proofErr w:type="spellStart"/>
      <w:r w:rsidR="00C218E1" w:rsidRPr="00A928CB">
        <w:rPr>
          <w:rFonts w:asciiTheme="majorHAnsi" w:hAnsiTheme="majorHAnsi"/>
          <w:sz w:val="22"/>
          <w:szCs w:val="22"/>
        </w:rPr>
        <w:t>Castberg</w:t>
      </w:r>
      <w:proofErr w:type="spellEnd"/>
      <w:r w:rsidRPr="00A928CB">
        <w:rPr>
          <w:rFonts w:asciiTheme="majorHAnsi" w:hAnsiTheme="majorHAnsi"/>
          <w:sz w:val="22"/>
          <w:szCs w:val="22"/>
          <w:lang w:val="en-GB"/>
        </w:rPr>
        <w:t xml:space="preserve"> project</w:t>
      </w:r>
      <w:r w:rsidR="006B41F7" w:rsidRPr="00A928CB">
        <w:rPr>
          <w:rStyle w:val="EndnoteReference"/>
          <w:rFonts w:asciiTheme="majorHAnsi" w:hAnsiTheme="majorHAnsi"/>
          <w:sz w:val="22"/>
          <w:szCs w:val="22"/>
          <w:lang w:val="en-GB"/>
        </w:rPr>
        <w:endnoteReference w:id="6"/>
      </w:r>
      <w:r w:rsidRPr="00A928CB">
        <w:rPr>
          <w:rFonts w:asciiTheme="majorHAnsi" w:hAnsiTheme="majorHAnsi"/>
          <w:sz w:val="22"/>
          <w:szCs w:val="22"/>
          <w:lang w:val="en-GB"/>
        </w:rPr>
        <w:t>.</w:t>
      </w:r>
    </w:p>
    <w:p w:rsidR="00A928CB" w:rsidRPr="00A928CB" w:rsidRDefault="00A928CB" w:rsidP="00123333">
      <w:pPr>
        <w:rPr>
          <w:rFonts w:asciiTheme="majorHAnsi" w:hAnsiTheme="majorHAnsi"/>
          <w:sz w:val="22"/>
          <w:szCs w:val="22"/>
          <w:lang w:val="en-GB"/>
        </w:rPr>
      </w:pPr>
    </w:p>
    <w:p w:rsidR="00BD0C96" w:rsidRPr="00314AC0" w:rsidRDefault="00BD0C96" w:rsidP="00BD0C96">
      <w:pPr>
        <w:tabs>
          <w:tab w:val="left" w:pos="2850"/>
        </w:tabs>
        <w:rPr>
          <w:rFonts w:asciiTheme="majorHAnsi" w:hAnsiTheme="majorHAnsi"/>
          <w:sz w:val="22"/>
          <w:szCs w:val="22"/>
        </w:rPr>
      </w:pPr>
      <w:r w:rsidRPr="00314AC0">
        <w:rPr>
          <w:rFonts w:asciiTheme="majorHAnsi" w:hAnsiTheme="majorHAnsi"/>
          <w:sz w:val="22"/>
          <w:szCs w:val="22"/>
        </w:rPr>
        <w:t>The study</w:t>
      </w:r>
      <w:r w:rsidR="00D43B4B">
        <w:rPr>
          <w:rFonts w:asciiTheme="majorHAnsi" w:hAnsiTheme="majorHAnsi"/>
          <w:sz w:val="22"/>
          <w:szCs w:val="22"/>
        </w:rPr>
        <w:t xml:space="preserve"> </w:t>
      </w:r>
      <w:r w:rsidRPr="00314AC0">
        <w:rPr>
          <w:rFonts w:asciiTheme="majorHAnsi" w:hAnsiTheme="majorHAnsi"/>
          <w:sz w:val="22"/>
          <w:szCs w:val="22"/>
        </w:rPr>
        <w:t xml:space="preserve">aims to alert institutional investors to the risks of investing in projects which depend on sustained high prices to make a return, and </w:t>
      </w:r>
      <w:r w:rsidR="00B7466B">
        <w:rPr>
          <w:rFonts w:asciiTheme="majorHAnsi" w:hAnsiTheme="majorHAnsi"/>
          <w:sz w:val="22"/>
          <w:szCs w:val="22"/>
        </w:rPr>
        <w:t>that are as a result</w:t>
      </w:r>
      <w:r w:rsidRPr="00314AC0">
        <w:rPr>
          <w:rFonts w:asciiTheme="majorHAnsi" w:hAnsiTheme="majorHAnsi"/>
          <w:sz w:val="22"/>
          <w:szCs w:val="22"/>
        </w:rPr>
        <w:t xml:space="preserve"> exposed to a </w:t>
      </w:r>
      <w:r w:rsidR="00A928CB">
        <w:rPr>
          <w:rFonts w:asciiTheme="majorHAnsi" w:hAnsiTheme="majorHAnsi"/>
          <w:sz w:val="22"/>
          <w:szCs w:val="22"/>
        </w:rPr>
        <w:t xml:space="preserve">future </w:t>
      </w:r>
      <w:r w:rsidRPr="00314AC0">
        <w:rPr>
          <w:rFonts w:asciiTheme="majorHAnsi" w:hAnsiTheme="majorHAnsi"/>
          <w:sz w:val="22"/>
          <w:szCs w:val="22"/>
        </w:rPr>
        <w:t xml:space="preserve">double </w:t>
      </w:r>
      <w:r w:rsidR="00A928CB">
        <w:rPr>
          <w:rFonts w:asciiTheme="majorHAnsi" w:hAnsiTheme="majorHAnsi"/>
          <w:sz w:val="22"/>
          <w:szCs w:val="22"/>
        </w:rPr>
        <w:t>hit</w:t>
      </w:r>
      <w:r w:rsidRPr="00314AC0">
        <w:rPr>
          <w:rFonts w:asciiTheme="majorHAnsi" w:hAnsiTheme="majorHAnsi"/>
          <w:sz w:val="22"/>
          <w:szCs w:val="22"/>
        </w:rPr>
        <w:t xml:space="preserve"> of falling oil prices and growing climate regulation in an increasingly carbon-constrained world.</w:t>
      </w:r>
    </w:p>
    <w:p w:rsidR="00BD0C96" w:rsidRPr="00314AC0" w:rsidRDefault="00BD0C96" w:rsidP="00BD0C96">
      <w:pPr>
        <w:tabs>
          <w:tab w:val="left" w:pos="2850"/>
        </w:tabs>
        <w:rPr>
          <w:rFonts w:asciiTheme="majorHAnsi" w:hAnsiTheme="majorHAnsi"/>
          <w:sz w:val="22"/>
          <w:szCs w:val="22"/>
        </w:rPr>
      </w:pPr>
    </w:p>
    <w:p w:rsidR="00E41892" w:rsidRDefault="00BD0C96" w:rsidP="00E41892">
      <w:pPr>
        <w:rPr>
          <w:rFonts w:asciiTheme="majorHAnsi" w:hAnsiTheme="majorHAnsi"/>
          <w:sz w:val="22"/>
          <w:szCs w:val="22"/>
        </w:rPr>
      </w:pPr>
      <w:r w:rsidRPr="00314AC0">
        <w:rPr>
          <w:rFonts w:asciiTheme="majorHAnsi" w:hAnsiTheme="majorHAnsi"/>
          <w:sz w:val="22"/>
          <w:szCs w:val="22"/>
        </w:rPr>
        <w:t xml:space="preserve">CTI showed in May that oil prices have collapsed as low as $40 per barrel twice in the last decade, while climate laws are tightening around the world, representing a big gamble for investors. Christiana </w:t>
      </w:r>
      <w:proofErr w:type="spellStart"/>
      <w:r w:rsidRPr="00314AC0">
        <w:rPr>
          <w:rFonts w:asciiTheme="majorHAnsi" w:hAnsiTheme="majorHAnsi"/>
          <w:sz w:val="22"/>
          <w:szCs w:val="22"/>
        </w:rPr>
        <w:t>Figueres</w:t>
      </w:r>
      <w:proofErr w:type="spellEnd"/>
      <w:r w:rsidRPr="00314AC0">
        <w:rPr>
          <w:rFonts w:asciiTheme="majorHAnsi" w:hAnsiTheme="majorHAnsi"/>
          <w:sz w:val="22"/>
          <w:szCs w:val="22"/>
        </w:rPr>
        <w:t xml:space="preserve">, Executive Secretary of the UN’s Framework Convention on Climate Change (UNFCCC), said recently that the world now has 500 climate laws in 60 countries covering 80 percent of global emissions – a trend oil companies can ill afford to ignore. </w:t>
      </w:r>
    </w:p>
    <w:p w:rsidR="00E41892" w:rsidRDefault="00E41892" w:rsidP="00E41892">
      <w:pPr>
        <w:rPr>
          <w:rFonts w:asciiTheme="majorHAnsi" w:hAnsiTheme="majorHAnsi"/>
          <w:sz w:val="22"/>
          <w:szCs w:val="22"/>
        </w:rPr>
      </w:pPr>
    </w:p>
    <w:p w:rsidR="00CB2C01" w:rsidRDefault="00E41892" w:rsidP="00DD3F53">
      <w:pPr>
        <w:rPr>
          <w:rFonts w:ascii="Calibri" w:eastAsia="Calibri" w:hAnsi="Calibri" w:cs="Times New Roman"/>
          <w:sz w:val="22"/>
          <w:szCs w:val="22"/>
          <w:lang w:val="en-GB"/>
        </w:rPr>
      </w:pPr>
      <w:r w:rsidRPr="00E41892">
        <w:rPr>
          <w:rFonts w:ascii="Calibri" w:eastAsia="Calibri" w:hAnsi="Calibri" w:cs="Times New Roman"/>
          <w:sz w:val="22"/>
          <w:szCs w:val="22"/>
          <w:lang w:val="en-GB"/>
        </w:rPr>
        <w:t xml:space="preserve">The </w:t>
      </w:r>
      <w:r w:rsidR="00B7466B">
        <w:rPr>
          <w:rFonts w:ascii="Calibri" w:eastAsia="Calibri" w:hAnsi="Calibri" w:cs="Times New Roman"/>
          <w:sz w:val="22"/>
          <w:szCs w:val="22"/>
          <w:lang w:val="en-GB"/>
        </w:rPr>
        <w:t xml:space="preserve">responses </w:t>
      </w:r>
      <w:r w:rsidRPr="00E41892">
        <w:rPr>
          <w:rFonts w:ascii="Calibri" w:eastAsia="Calibri" w:hAnsi="Calibri" w:cs="Times New Roman"/>
          <w:sz w:val="22"/>
          <w:szCs w:val="22"/>
          <w:lang w:val="en-GB"/>
        </w:rPr>
        <w:t>from</w:t>
      </w:r>
      <w:r w:rsidR="00B7466B">
        <w:rPr>
          <w:rFonts w:ascii="Calibri" w:eastAsia="Calibri" w:hAnsi="Calibri" w:cs="Times New Roman"/>
          <w:sz w:val="22"/>
          <w:szCs w:val="22"/>
          <w:lang w:val="en-GB"/>
        </w:rPr>
        <w:t xml:space="preserve"> Royal Dutch</w:t>
      </w:r>
      <w:r w:rsidRPr="00E41892">
        <w:rPr>
          <w:rFonts w:ascii="Calibri" w:eastAsia="Calibri" w:hAnsi="Calibri" w:cs="Times New Roman"/>
          <w:sz w:val="22"/>
          <w:szCs w:val="22"/>
          <w:lang w:val="en-GB"/>
        </w:rPr>
        <w:t xml:space="preserve"> Shell and Exxon</w:t>
      </w:r>
      <w:r w:rsidR="00B7466B">
        <w:rPr>
          <w:rFonts w:ascii="Calibri" w:eastAsia="Calibri" w:hAnsi="Calibri" w:cs="Times New Roman"/>
          <w:sz w:val="22"/>
          <w:szCs w:val="22"/>
          <w:lang w:val="en-GB"/>
        </w:rPr>
        <w:t xml:space="preserve"> Mobil to </w:t>
      </w:r>
      <w:r w:rsidR="00CB2C01">
        <w:rPr>
          <w:rFonts w:ascii="Calibri" w:eastAsia="Calibri" w:hAnsi="Calibri" w:cs="Times New Roman"/>
          <w:sz w:val="22"/>
          <w:szCs w:val="22"/>
          <w:lang w:val="en-GB"/>
        </w:rPr>
        <w:t xml:space="preserve">an inquiry </w:t>
      </w:r>
      <w:r w:rsidR="00F42E04">
        <w:rPr>
          <w:rFonts w:ascii="Calibri" w:eastAsia="Calibri" w:hAnsi="Calibri" w:cs="Times New Roman"/>
          <w:sz w:val="22"/>
          <w:szCs w:val="22"/>
          <w:lang w:val="en-GB"/>
        </w:rPr>
        <w:t>last year about</w:t>
      </w:r>
      <w:r w:rsidR="00CB2C01">
        <w:rPr>
          <w:rFonts w:ascii="Calibri" w:eastAsia="Calibri" w:hAnsi="Calibri" w:cs="Times New Roman"/>
          <w:sz w:val="22"/>
          <w:szCs w:val="22"/>
          <w:lang w:val="en-GB"/>
        </w:rPr>
        <w:t xml:space="preserve"> stranded assets from a large group institutional investors supported by CTI and Ceres </w:t>
      </w:r>
      <w:r w:rsidRPr="00E41892">
        <w:rPr>
          <w:rFonts w:ascii="Calibri" w:eastAsia="Calibri" w:hAnsi="Calibri" w:cs="Times New Roman"/>
          <w:sz w:val="22"/>
          <w:szCs w:val="22"/>
          <w:lang w:val="en-GB"/>
        </w:rPr>
        <w:t>show that these companies have not resolved the contradiction between their acceptance of the need to tackle climate change, and their</w:t>
      </w:r>
      <w:r w:rsidR="00B7466B">
        <w:rPr>
          <w:rFonts w:ascii="Calibri" w:eastAsia="Calibri" w:hAnsi="Calibri" w:cs="Times New Roman"/>
          <w:sz w:val="22"/>
          <w:szCs w:val="22"/>
          <w:lang w:val="en-GB"/>
        </w:rPr>
        <w:t xml:space="preserve"> </w:t>
      </w:r>
      <w:r w:rsidRPr="00E41892">
        <w:rPr>
          <w:rFonts w:ascii="Calibri" w:eastAsia="Calibri" w:hAnsi="Calibri" w:cs="Times New Roman"/>
          <w:sz w:val="22"/>
          <w:szCs w:val="22"/>
          <w:lang w:val="en-GB"/>
        </w:rPr>
        <w:t>plans to spend</w:t>
      </w:r>
      <w:r w:rsidR="00B7466B">
        <w:rPr>
          <w:rFonts w:ascii="Calibri" w:eastAsia="Calibri" w:hAnsi="Calibri" w:cs="Times New Roman"/>
          <w:sz w:val="22"/>
          <w:szCs w:val="22"/>
          <w:lang w:val="en-GB"/>
        </w:rPr>
        <w:t xml:space="preserve"> billions </w:t>
      </w:r>
      <w:r w:rsidRPr="00E41892">
        <w:rPr>
          <w:rFonts w:ascii="Calibri" w:eastAsia="Calibri" w:hAnsi="Calibri" w:cs="Times New Roman"/>
          <w:sz w:val="22"/>
          <w:szCs w:val="22"/>
          <w:lang w:val="en-GB"/>
        </w:rPr>
        <w:t xml:space="preserve">on </w:t>
      </w:r>
      <w:r w:rsidR="00B7466B">
        <w:rPr>
          <w:rFonts w:ascii="Calibri" w:eastAsia="Calibri" w:hAnsi="Calibri" w:cs="Times New Roman"/>
          <w:sz w:val="22"/>
          <w:szCs w:val="22"/>
          <w:lang w:val="en-GB"/>
        </w:rPr>
        <w:t xml:space="preserve">high-risk oil </w:t>
      </w:r>
      <w:r w:rsidRPr="00E41892">
        <w:rPr>
          <w:rFonts w:ascii="Calibri" w:eastAsia="Calibri" w:hAnsi="Calibri" w:cs="Times New Roman"/>
          <w:sz w:val="22"/>
          <w:szCs w:val="22"/>
          <w:lang w:val="en-GB"/>
        </w:rPr>
        <w:t>projects at the wrong end of the cost curve.</w:t>
      </w:r>
      <w:bookmarkStart w:id="0" w:name="_GoBack"/>
    </w:p>
    <w:p w:rsidR="00CB2C01" w:rsidRDefault="00CB2C01" w:rsidP="00DD3F53">
      <w:pPr>
        <w:rPr>
          <w:rFonts w:ascii="Calibri" w:eastAsia="Calibri" w:hAnsi="Calibri" w:cs="Times New Roman"/>
          <w:sz w:val="22"/>
          <w:szCs w:val="22"/>
          <w:lang w:val="en-GB"/>
        </w:rPr>
      </w:pPr>
    </w:p>
    <w:p w:rsidR="005B1840" w:rsidRDefault="00CB2C01" w:rsidP="00DD3F53">
      <w:pPr>
        <w:rPr>
          <w:rFonts w:ascii="Calibri" w:eastAsia="Calibri" w:hAnsi="Calibri" w:cs="Times New Roman"/>
          <w:sz w:val="22"/>
          <w:szCs w:val="22"/>
          <w:lang w:val="en-GB"/>
        </w:rPr>
      </w:pPr>
      <w:r>
        <w:rPr>
          <w:rFonts w:ascii="Calibri" w:eastAsia="Calibri" w:hAnsi="Calibri" w:cs="Times New Roman"/>
          <w:sz w:val="22"/>
          <w:szCs w:val="22"/>
          <w:lang w:val="en-GB"/>
        </w:rPr>
        <w:t>“As investors continue press</w:t>
      </w:r>
      <w:r w:rsidR="0009110F">
        <w:rPr>
          <w:rFonts w:ascii="Calibri" w:eastAsia="Calibri" w:hAnsi="Calibri" w:cs="Times New Roman"/>
          <w:sz w:val="22"/>
          <w:szCs w:val="22"/>
          <w:lang w:val="en-GB"/>
        </w:rPr>
        <w:t>ing</w:t>
      </w:r>
      <w:r>
        <w:rPr>
          <w:rFonts w:ascii="Calibri" w:eastAsia="Calibri" w:hAnsi="Calibri" w:cs="Times New Roman"/>
          <w:sz w:val="22"/>
          <w:szCs w:val="22"/>
          <w:lang w:val="en-GB"/>
        </w:rPr>
        <w:t xml:space="preserve"> </w:t>
      </w:r>
      <w:r w:rsidR="0009110F">
        <w:rPr>
          <w:rFonts w:ascii="Calibri" w:eastAsia="Calibri" w:hAnsi="Calibri" w:cs="Times New Roman"/>
          <w:sz w:val="22"/>
          <w:szCs w:val="22"/>
          <w:lang w:val="en-GB"/>
        </w:rPr>
        <w:t>oil</w:t>
      </w:r>
      <w:r>
        <w:rPr>
          <w:rFonts w:ascii="Calibri" w:eastAsia="Calibri" w:hAnsi="Calibri" w:cs="Times New Roman"/>
          <w:sz w:val="22"/>
          <w:szCs w:val="22"/>
          <w:lang w:val="en-GB"/>
        </w:rPr>
        <w:t xml:space="preserve"> companies to </w:t>
      </w:r>
      <w:r w:rsidR="0009110F">
        <w:rPr>
          <w:rFonts w:ascii="Calibri" w:eastAsia="Calibri" w:hAnsi="Calibri" w:cs="Times New Roman"/>
          <w:sz w:val="22"/>
          <w:szCs w:val="22"/>
          <w:lang w:val="en-GB"/>
        </w:rPr>
        <w:t xml:space="preserve">reduce their risk of stranded assets, </w:t>
      </w:r>
      <w:r w:rsidR="008B0759">
        <w:rPr>
          <w:rFonts w:ascii="Calibri" w:eastAsia="Calibri" w:hAnsi="Calibri" w:cs="Times New Roman"/>
          <w:sz w:val="22"/>
          <w:szCs w:val="22"/>
          <w:lang w:val="en-GB"/>
        </w:rPr>
        <w:t>CTI’s</w:t>
      </w:r>
      <w:r w:rsidR="0009110F">
        <w:rPr>
          <w:rFonts w:ascii="Calibri" w:eastAsia="Calibri" w:hAnsi="Calibri" w:cs="Times New Roman"/>
          <w:sz w:val="22"/>
          <w:szCs w:val="22"/>
          <w:lang w:val="en-GB"/>
        </w:rPr>
        <w:t xml:space="preserve"> cutting-edge research provides the company- and project-specific information </w:t>
      </w:r>
      <w:r w:rsidR="008B0759">
        <w:rPr>
          <w:rFonts w:ascii="Calibri" w:eastAsia="Calibri" w:hAnsi="Calibri" w:cs="Times New Roman"/>
          <w:sz w:val="22"/>
          <w:szCs w:val="22"/>
          <w:lang w:val="en-GB"/>
        </w:rPr>
        <w:t xml:space="preserve">that </w:t>
      </w:r>
      <w:r w:rsidR="0009110F">
        <w:rPr>
          <w:rFonts w:ascii="Calibri" w:eastAsia="Calibri" w:hAnsi="Calibri" w:cs="Times New Roman"/>
          <w:sz w:val="22"/>
          <w:szCs w:val="22"/>
          <w:lang w:val="en-GB"/>
        </w:rPr>
        <w:t xml:space="preserve">investors need,” said Mindy Lubber, </w:t>
      </w:r>
      <w:bookmarkEnd w:id="0"/>
      <w:r w:rsidR="0054142E">
        <w:rPr>
          <w:rFonts w:ascii="Calibri" w:eastAsia="Calibri" w:hAnsi="Calibri" w:cs="Times New Roman"/>
          <w:sz w:val="22"/>
          <w:szCs w:val="22"/>
          <w:lang w:val="en-GB"/>
        </w:rPr>
        <w:t xml:space="preserve">president of Ceres and director of </w:t>
      </w:r>
      <w:r w:rsidR="0009110F">
        <w:rPr>
          <w:rFonts w:ascii="Calibri" w:eastAsia="Calibri" w:hAnsi="Calibri" w:cs="Times New Roman"/>
          <w:sz w:val="22"/>
          <w:szCs w:val="22"/>
          <w:lang w:val="en-GB"/>
        </w:rPr>
        <w:t>the Investor Network on Climate Risk</w:t>
      </w:r>
      <w:r w:rsidR="0054142E">
        <w:rPr>
          <w:rFonts w:ascii="Calibri" w:eastAsia="Calibri" w:hAnsi="Calibri" w:cs="Times New Roman"/>
          <w:sz w:val="22"/>
          <w:szCs w:val="22"/>
          <w:lang w:val="en-GB"/>
        </w:rPr>
        <w:t xml:space="preserve"> (INCR), which incudes 110 investors with collective assets totalling $13 trillion</w:t>
      </w:r>
      <w:r w:rsidR="0009110F">
        <w:rPr>
          <w:rFonts w:ascii="Calibri" w:eastAsia="Calibri" w:hAnsi="Calibri" w:cs="Times New Roman"/>
          <w:sz w:val="22"/>
          <w:szCs w:val="22"/>
          <w:lang w:val="en-GB"/>
        </w:rPr>
        <w:t xml:space="preserve">. “Companies should </w:t>
      </w:r>
      <w:r w:rsidR="00EF62CE">
        <w:rPr>
          <w:rFonts w:ascii="Calibri" w:eastAsia="Calibri" w:hAnsi="Calibri" w:cs="Times New Roman"/>
          <w:sz w:val="22"/>
          <w:szCs w:val="22"/>
          <w:lang w:val="en-GB"/>
        </w:rPr>
        <w:t xml:space="preserve">not be wasting </w:t>
      </w:r>
      <w:r w:rsidR="0009110F">
        <w:rPr>
          <w:rFonts w:ascii="Calibri" w:eastAsia="Calibri" w:hAnsi="Calibri" w:cs="Times New Roman"/>
          <w:sz w:val="22"/>
          <w:szCs w:val="22"/>
          <w:lang w:val="en-GB"/>
        </w:rPr>
        <w:t xml:space="preserve">shareholder capital </w:t>
      </w:r>
      <w:r w:rsidR="00EF62CE">
        <w:rPr>
          <w:rFonts w:ascii="Calibri" w:eastAsia="Calibri" w:hAnsi="Calibri" w:cs="Times New Roman"/>
          <w:sz w:val="22"/>
          <w:szCs w:val="22"/>
          <w:lang w:val="en-GB"/>
        </w:rPr>
        <w:t>to develop</w:t>
      </w:r>
      <w:r w:rsidR="0009110F">
        <w:rPr>
          <w:rFonts w:ascii="Calibri" w:eastAsia="Calibri" w:hAnsi="Calibri" w:cs="Times New Roman"/>
          <w:sz w:val="22"/>
          <w:szCs w:val="22"/>
          <w:lang w:val="en-GB"/>
        </w:rPr>
        <w:t xml:space="preserve"> projects that </w:t>
      </w:r>
      <w:r w:rsidR="00EF62CE">
        <w:rPr>
          <w:rFonts w:ascii="Calibri" w:eastAsia="Calibri" w:hAnsi="Calibri" w:cs="Times New Roman"/>
          <w:sz w:val="22"/>
          <w:szCs w:val="22"/>
          <w:lang w:val="en-GB"/>
        </w:rPr>
        <w:t xml:space="preserve">simply </w:t>
      </w:r>
      <w:r w:rsidR="0009110F">
        <w:rPr>
          <w:rFonts w:ascii="Calibri" w:eastAsia="Calibri" w:hAnsi="Calibri" w:cs="Times New Roman"/>
          <w:sz w:val="22"/>
          <w:szCs w:val="22"/>
          <w:lang w:val="en-GB"/>
        </w:rPr>
        <w:t>don’t make economic sense as the world moves toward a lower carbon future.”</w:t>
      </w:r>
    </w:p>
    <w:p w:rsidR="007838FA" w:rsidRDefault="007838FA" w:rsidP="00DD3F53">
      <w:pPr>
        <w:rPr>
          <w:rFonts w:ascii="Calibri" w:eastAsia="Calibri" w:hAnsi="Calibri" w:cs="Times New Roman"/>
          <w:sz w:val="22"/>
          <w:szCs w:val="22"/>
          <w:lang w:val="en-GB"/>
        </w:rPr>
      </w:pPr>
    </w:p>
    <w:p w:rsidR="00430E95" w:rsidRPr="00D1451C" w:rsidRDefault="00430E95" w:rsidP="00430E95">
      <w:pPr>
        <w:rPr>
          <w:sz w:val="20"/>
        </w:rPr>
      </w:pPr>
      <w:r w:rsidRPr="00D1451C">
        <w:rPr>
          <w:rFonts w:asciiTheme="majorHAnsi" w:hAnsiTheme="majorHAnsi"/>
          <w:sz w:val="22"/>
        </w:rPr>
        <w:t xml:space="preserve">The US Energy Information Administration (EIA) </w:t>
      </w:r>
      <w:r>
        <w:rPr>
          <w:rFonts w:ascii="Calibri" w:eastAsia="Calibri" w:hAnsi="Calibri" w:cs="Times New Roman"/>
          <w:sz w:val="22"/>
          <w:szCs w:val="22"/>
          <w:lang w:val="en-GB"/>
        </w:rPr>
        <w:t xml:space="preserve">recently found that the oil and gas sector has increased borrowing dramatically to cover spending and dividends. The EIA </w:t>
      </w:r>
      <w:r w:rsidRPr="00D1451C">
        <w:rPr>
          <w:rFonts w:asciiTheme="majorHAnsi" w:hAnsiTheme="majorHAnsi"/>
          <w:sz w:val="22"/>
        </w:rPr>
        <w:t>said a review of 127 companies across the globe found that they had increased net debt by $106bn in the year to March, in order to cover the surging costs of machinery and exploration, while still paying generous dividends at the same time. They also sold off a net $73bn of assets.</w:t>
      </w:r>
      <w:r>
        <w:rPr>
          <w:rStyle w:val="EndnoteReference"/>
          <w:rFonts w:asciiTheme="majorHAnsi" w:hAnsiTheme="majorHAnsi"/>
          <w:sz w:val="22"/>
        </w:rPr>
        <w:endnoteReference w:id="7"/>
      </w:r>
    </w:p>
    <w:p w:rsidR="00430E95" w:rsidRDefault="00430E95" w:rsidP="00DD3F53">
      <w:pPr>
        <w:rPr>
          <w:rFonts w:ascii="Calibri" w:eastAsia="Calibri" w:hAnsi="Calibri" w:cs="Times New Roman"/>
          <w:sz w:val="22"/>
          <w:szCs w:val="22"/>
          <w:lang w:val="en-GB"/>
        </w:rPr>
      </w:pPr>
    </w:p>
    <w:p w:rsidR="007838FA" w:rsidRPr="00F151BB" w:rsidRDefault="007838FA" w:rsidP="00DD3F53">
      <w:pPr>
        <w:rPr>
          <w:rFonts w:ascii="Calibri" w:eastAsia="Times New Roman" w:hAnsi="Calibri"/>
          <w:color w:val="000000"/>
          <w:sz w:val="22"/>
          <w:szCs w:val="22"/>
        </w:rPr>
      </w:pPr>
      <w:r>
        <w:rPr>
          <w:rFonts w:ascii="Calibri" w:eastAsia="Calibri" w:hAnsi="Calibri" w:cs="Times New Roman"/>
          <w:sz w:val="22"/>
          <w:szCs w:val="22"/>
          <w:lang w:val="en-GB"/>
        </w:rPr>
        <w:t xml:space="preserve">The new analysis can be </w:t>
      </w:r>
      <w:r w:rsidRPr="00F151BB">
        <w:rPr>
          <w:rFonts w:ascii="Calibri" w:eastAsia="Calibri" w:hAnsi="Calibri" w:cs="Times New Roman"/>
          <w:sz w:val="22"/>
          <w:szCs w:val="22"/>
          <w:lang w:val="en-GB"/>
        </w:rPr>
        <w:t xml:space="preserve">reached at </w:t>
      </w:r>
      <w:hyperlink r:id="rId10" w:history="1">
        <w:r w:rsidR="0079007C" w:rsidRPr="00F151BB">
          <w:rPr>
            <w:rStyle w:val="Hyperlink"/>
            <w:rFonts w:ascii="Calibri" w:eastAsia="Times New Roman" w:hAnsi="Calibri"/>
            <w:sz w:val="22"/>
            <w:szCs w:val="22"/>
          </w:rPr>
          <w:t>http://www.carbontracker.org/site/capex-factsheets-oil-majors</w:t>
        </w:r>
      </w:hyperlink>
      <w:r w:rsidR="0079007C" w:rsidRPr="00F151BB">
        <w:rPr>
          <w:rFonts w:ascii="Calibri" w:eastAsia="Calibri" w:hAnsi="Calibri" w:cs="Times New Roman"/>
          <w:sz w:val="22"/>
          <w:szCs w:val="22"/>
          <w:lang w:val="en-GB"/>
        </w:rPr>
        <w:t>.</w:t>
      </w:r>
    </w:p>
    <w:p w:rsidR="0012058C" w:rsidRPr="00314AC0" w:rsidRDefault="0012058C" w:rsidP="005B1840">
      <w:pPr>
        <w:rPr>
          <w:rFonts w:asciiTheme="majorHAnsi" w:hAnsiTheme="majorHAnsi"/>
          <w:sz w:val="22"/>
          <w:szCs w:val="22"/>
        </w:rPr>
      </w:pPr>
    </w:p>
    <w:p w:rsidR="00C218E1" w:rsidRPr="00314AC0" w:rsidRDefault="00B7466B" w:rsidP="005B1840">
      <w:pPr>
        <w:rPr>
          <w:rFonts w:asciiTheme="majorHAnsi" w:hAnsiTheme="majorHAnsi"/>
          <w:sz w:val="22"/>
          <w:szCs w:val="22"/>
        </w:rPr>
      </w:pPr>
      <w:r>
        <w:rPr>
          <w:rFonts w:asciiTheme="majorHAnsi" w:hAnsiTheme="majorHAnsi"/>
          <w:sz w:val="22"/>
          <w:szCs w:val="22"/>
        </w:rPr>
        <w:t xml:space="preserve">Press </w:t>
      </w:r>
      <w:r w:rsidR="0012058C" w:rsidRPr="00314AC0">
        <w:rPr>
          <w:rFonts w:asciiTheme="majorHAnsi" w:hAnsiTheme="majorHAnsi"/>
          <w:sz w:val="22"/>
          <w:szCs w:val="22"/>
        </w:rPr>
        <w:t>Contact details:</w:t>
      </w:r>
    </w:p>
    <w:p w:rsidR="00C218E1" w:rsidRPr="00C218E1" w:rsidRDefault="00C218E1" w:rsidP="00C218E1">
      <w:pPr>
        <w:rPr>
          <w:rFonts w:asciiTheme="majorHAnsi" w:hAnsiTheme="majorHAnsi"/>
          <w:sz w:val="22"/>
          <w:szCs w:val="22"/>
        </w:rPr>
      </w:pPr>
      <w:r w:rsidRPr="00C218E1">
        <w:rPr>
          <w:rFonts w:asciiTheme="majorHAnsi" w:hAnsiTheme="majorHAnsi"/>
          <w:sz w:val="22"/>
          <w:szCs w:val="22"/>
        </w:rPr>
        <w:t>Margherita Gagliardi</w:t>
      </w:r>
    </w:p>
    <w:p w:rsidR="00C218E1" w:rsidRPr="00C218E1" w:rsidRDefault="00C218E1" w:rsidP="00C218E1">
      <w:pPr>
        <w:rPr>
          <w:rFonts w:asciiTheme="majorHAnsi" w:hAnsiTheme="majorHAnsi"/>
          <w:sz w:val="22"/>
          <w:szCs w:val="22"/>
        </w:rPr>
      </w:pPr>
      <w:r w:rsidRPr="00C218E1">
        <w:rPr>
          <w:rFonts w:asciiTheme="majorHAnsi" w:hAnsiTheme="majorHAnsi"/>
          <w:sz w:val="22"/>
          <w:szCs w:val="22"/>
        </w:rPr>
        <w:t>Communications Officer, UK</w:t>
      </w:r>
    </w:p>
    <w:p w:rsidR="00C218E1" w:rsidRPr="00C218E1" w:rsidRDefault="00C218E1" w:rsidP="00C218E1">
      <w:pPr>
        <w:rPr>
          <w:rFonts w:asciiTheme="majorHAnsi" w:hAnsiTheme="majorHAnsi"/>
          <w:sz w:val="22"/>
          <w:szCs w:val="22"/>
        </w:rPr>
      </w:pPr>
      <w:r w:rsidRPr="00C218E1">
        <w:rPr>
          <w:rFonts w:asciiTheme="majorHAnsi" w:hAnsiTheme="majorHAnsi"/>
          <w:sz w:val="22"/>
          <w:szCs w:val="22"/>
        </w:rPr>
        <w:t>Carbon Tracker Initiative</w:t>
      </w:r>
    </w:p>
    <w:p w:rsidR="00C218E1" w:rsidRPr="00C218E1" w:rsidRDefault="00C218E1" w:rsidP="00C218E1">
      <w:pPr>
        <w:rPr>
          <w:rFonts w:asciiTheme="majorHAnsi" w:hAnsiTheme="majorHAnsi"/>
          <w:sz w:val="22"/>
          <w:szCs w:val="22"/>
        </w:rPr>
      </w:pPr>
      <w:r w:rsidRPr="00C218E1">
        <w:rPr>
          <w:rFonts w:asciiTheme="majorHAnsi" w:hAnsiTheme="majorHAnsi"/>
          <w:sz w:val="22"/>
          <w:szCs w:val="22"/>
        </w:rPr>
        <w:t>Ph: +44(0) 203 713 9610</w:t>
      </w:r>
    </w:p>
    <w:p w:rsidR="00C218E1" w:rsidRPr="00C218E1" w:rsidRDefault="00C218E1" w:rsidP="00C218E1">
      <w:pPr>
        <w:rPr>
          <w:rFonts w:asciiTheme="majorHAnsi" w:hAnsiTheme="majorHAnsi"/>
          <w:sz w:val="22"/>
          <w:szCs w:val="22"/>
        </w:rPr>
      </w:pPr>
      <w:r w:rsidRPr="00C218E1">
        <w:rPr>
          <w:rFonts w:asciiTheme="majorHAnsi" w:hAnsiTheme="majorHAnsi"/>
          <w:sz w:val="22"/>
          <w:szCs w:val="22"/>
        </w:rPr>
        <w:t>M: +44 (0)777 157 7310</w:t>
      </w:r>
    </w:p>
    <w:p w:rsidR="0012058C" w:rsidRPr="00314AC0" w:rsidRDefault="00C218E1" w:rsidP="005B1840">
      <w:pPr>
        <w:rPr>
          <w:rFonts w:asciiTheme="majorHAnsi" w:hAnsiTheme="majorHAnsi"/>
          <w:sz w:val="22"/>
          <w:szCs w:val="22"/>
        </w:rPr>
      </w:pPr>
      <w:r w:rsidRPr="00C218E1">
        <w:rPr>
          <w:rFonts w:asciiTheme="majorHAnsi" w:hAnsiTheme="majorHAnsi"/>
          <w:sz w:val="22"/>
          <w:szCs w:val="22"/>
        </w:rPr>
        <w:t>E: mgagliardi@carbontracker.org</w:t>
      </w:r>
      <w:r w:rsidR="0012058C" w:rsidRPr="00314AC0">
        <w:rPr>
          <w:rFonts w:asciiTheme="majorHAnsi" w:hAnsiTheme="majorHAnsi"/>
          <w:sz w:val="22"/>
          <w:szCs w:val="22"/>
        </w:rPr>
        <w:tab/>
      </w:r>
      <w:r w:rsidR="0012058C" w:rsidRPr="00314AC0">
        <w:rPr>
          <w:rFonts w:asciiTheme="majorHAnsi" w:hAnsiTheme="majorHAnsi"/>
          <w:sz w:val="22"/>
          <w:szCs w:val="22"/>
        </w:rPr>
        <w:tab/>
      </w:r>
      <w:r w:rsidR="0012058C" w:rsidRPr="00314AC0">
        <w:rPr>
          <w:rFonts w:asciiTheme="majorHAnsi" w:hAnsiTheme="majorHAnsi"/>
          <w:sz w:val="22"/>
          <w:szCs w:val="22"/>
        </w:rPr>
        <w:tab/>
      </w:r>
      <w:r w:rsidR="0012058C" w:rsidRPr="00314AC0">
        <w:rPr>
          <w:rFonts w:asciiTheme="majorHAnsi" w:hAnsiTheme="majorHAnsi"/>
          <w:sz w:val="22"/>
          <w:szCs w:val="22"/>
        </w:rPr>
        <w:tab/>
      </w:r>
      <w:r w:rsidR="0012058C" w:rsidRPr="00314AC0">
        <w:rPr>
          <w:rFonts w:asciiTheme="majorHAnsi" w:hAnsiTheme="majorHAnsi"/>
          <w:sz w:val="22"/>
          <w:szCs w:val="22"/>
        </w:rPr>
        <w:tab/>
      </w:r>
    </w:p>
    <w:sectPr w:rsidR="0012058C" w:rsidRPr="00314AC0" w:rsidSect="00EA519E">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015" w:rsidRDefault="008A7015" w:rsidP="00754082">
      <w:r>
        <w:separator/>
      </w:r>
    </w:p>
  </w:endnote>
  <w:endnote w:type="continuationSeparator" w:id="0">
    <w:p w:rsidR="008A7015" w:rsidRDefault="008A7015" w:rsidP="00754082">
      <w:r>
        <w:continuationSeparator/>
      </w:r>
    </w:p>
  </w:endnote>
  <w:endnote w:id="1">
    <w:p w:rsidR="0009110F" w:rsidRDefault="0009110F">
      <w:pPr>
        <w:pStyle w:val="EndnoteText"/>
        <w:rPr>
          <w:rFonts w:asciiTheme="majorHAnsi" w:hAnsiTheme="majorHAnsi"/>
          <w:sz w:val="16"/>
          <w:szCs w:val="16"/>
        </w:rPr>
      </w:pPr>
      <w:r>
        <w:rPr>
          <w:rStyle w:val="EndnoteReference"/>
        </w:rPr>
        <w:endnoteRef/>
      </w:r>
      <w:r>
        <w:t xml:space="preserve"> </w:t>
      </w:r>
      <w:r w:rsidRPr="00F151BB">
        <w:rPr>
          <w:rFonts w:asciiTheme="majorHAnsi" w:hAnsiTheme="majorHAnsi"/>
          <w:sz w:val="16"/>
          <w:szCs w:val="16"/>
        </w:rPr>
        <w:t xml:space="preserve">CTI/ETA, </w:t>
      </w:r>
      <w:r w:rsidRPr="00F151BB">
        <w:rPr>
          <w:rFonts w:asciiTheme="majorHAnsi" w:hAnsiTheme="majorHAnsi"/>
          <w:i/>
          <w:sz w:val="16"/>
          <w:szCs w:val="16"/>
        </w:rPr>
        <w:t>Carbon Supply Cost Curves</w:t>
      </w:r>
      <w:r>
        <w:rPr>
          <w:rFonts w:asciiTheme="majorHAnsi" w:hAnsiTheme="majorHAnsi"/>
          <w:sz w:val="16"/>
          <w:szCs w:val="16"/>
        </w:rPr>
        <w:t xml:space="preserve">. </w:t>
      </w:r>
    </w:p>
    <w:p w:rsidR="0009110F" w:rsidRPr="00F151BB" w:rsidRDefault="001E15EF">
      <w:pPr>
        <w:pStyle w:val="EndnoteText"/>
        <w:rPr>
          <w:lang w:val="en-GB"/>
        </w:rPr>
      </w:pPr>
      <w:hyperlink r:id="rId1" w:history="1">
        <w:r w:rsidR="0009110F" w:rsidRPr="0002236E">
          <w:rPr>
            <w:rStyle w:val="Hyperlink"/>
            <w:rFonts w:asciiTheme="majorHAnsi" w:hAnsiTheme="majorHAnsi"/>
            <w:sz w:val="16"/>
            <w:szCs w:val="16"/>
          </w:rPr>
          <w:t>http://www.carbontracker.org/oil-reports</w:t>
        </w:r>
      </w:hyperlink>
      <w:r w:rsidR="0009110F">
        <w:rPr>
          <w:rFonts w:asciiTheme="majorHAnsi" w:hAnsiTheme="majorHAnsi"/>
          <w:sz w:val="16"/>
          <w:szCs w:val="16"/>
        </w:rPr>
        <w:t xml:space="preserve"> </w:t>
      </w:r>
    </w:p>
  </w:endnote>
  <w:endnote w:id="2">
    <w:p w:rsidR="0009110F" w:rsidRPr="00F151BB" w:rsidRDefault="0009110F">
      <w:pPr>
        <w:pStyle w:val="EndnoteText"/>
        <w:rPr>
          <w:lang w:val="en-GB"/>
        </w:rPr>
      </w:pPr>
      <w:r>
        <w:rPr>
          <w:rStyle w:val="EndnoteReference"/>
        </w:rPr>
        <w:endnoteRef/>
      </w:r>
      <w:r>
        <w:t xml:space="preserve"> </w:t>
      </w:r>
      <w:hyperlink r:id="rId2" w:history="1">
        <w:r w:rsidRPr="0002236E">
          <w:rPr>
            <w:rStyle w:val="Hyperlink"/>
            <w:rFonts w:asciiTheme="majorHAnsi" w:hAnsiTheme="majorHAnsi"/>
            <w:sz w:val="16"/>
            <w:szCs w:val="16"/>
          </w:rPr>
          <w:t>http://www.theglobeandmail.com/report-on-business/joslyn/article18914681/</w:t>
        </w:r>
      </w:hyperlink>
      <w:r>
        <w:rPr>
          <w:rFonts w:asciiTheme="majorHAnsi" w:hAnsiTheme="majorHAnsi"/>
          <w:sz w:val="16"/>
          <w:szCs w:val="16"/>
        </w:rPr>
        <w:t xml:space="preserve"> </w:t>
      </w:r>
    </w:p>
  </w:endnote>
  <w:endnote w:id="3">
    <w:p w:rsidR="0009110F" w:rsidRPr="00F151BB" w:rsidRDefault="0009110F">
      <w:pPr>
        <w:pStyle w:val="EndnoteText"/>
        <w:rPr>
          <w:lang w:val="en-GB"/>
        </w:rPr>
      </w:pPr>
      <w:r>
        <w:rPr>
          <w:rStyle w:val="EndnoteReference"/>
        </w:rPr>
        <w:endnoteRef/>
      </w:r>
      <w:r>
        <w:t xml:space="preserve"> </w:t>
      </w:r>
      <w:hyperlink r:id="rId3" w:history="1">
        <w:r w:rsidRPr="0002236E">
          <w:rPr>
            <w:rStyle w:val="Hyperlink"/>
            <w:rFonts w:asciiTheme="majorHAnsi" w:hAnsiTheme="majorHAnsi"/>
            <w:sz w:val="16"/>
            <w:szCs w:val="16"/>
          </w:rPr>
          <w:t>http://business.financialpost.com/2014/02/12/shell-halts-work-on-pierre-river-oil-sands-mine-in-northern-alberta/?__lsa=3d7c-cd43</w:t>
        </w:r>
      </w:hyperlink>
      <w:r>
        <w:rPr>
          <w:rFonts w:asciiTheme="majorHAnsi" w:hAnsiTheme="majorHAnsi"/>
          <w:sz w:val="16"/>
          <w:szCs w:val="16"/>
        </w:rPr>
        <w:t xml:space="preserve"> </w:t>
      </w:r>
    </w:p>
  </w:endnote>
  <w:endnote w:id="4">
    <w:p w:rsidR="0009110F" w:rsidRPr="00F151BB" w:rsidRDefault="0009110F">
      <w:pPr>
        <w:pStyle w:val="EndnoteText"/>
        <w:rPr>
          <w:lang w:val="en-GB"/>
        </w:rPr>
      </w:pPr>
      <w:r>
        <w:rPr>
          <w:rStyle w:val="EndnoteReference"/>
        </w:rPr>
        <w:endnoteRef/>
      </w:r>
      <w:r>
        <w:t xml:space="preserve"> </w:t>
      </w:r>
      <w:hyperlink r:id="rId4" w:history="1">
        <w:r w:rsidRPr="0002236E">
          <w:rPr>
            <w:rStyle w:val="Hyperlink"/>
            <w:rFonts w:asciiTheme="majorHAnsi" w:hAnsiTheme="majorHAnsi"/>
            <w:sz w:val="16"/>
            <w:szCs w:val="16"/>
          </w:rPr>
          <w:t>http://www.reuters.com/article/2013/09/19/bp-usa-offshore-idUSL2N0HE2V520130919</w:t>
        </w:r>
      </w:hyperlink>
      <w:r>
        <w:rPr>
          <w:rFonts w:asciiTheme="majorHAnsi" w:hAnsiTheme="majorHAnsi"/>
          <w:sz w:val="16"/>
          <w:szCs w:val="16"/>
        </w:rPr>
        <w:t xml:space="preserve"> </w:t>
      </w:r>
    </w:p>
  </w:endnote>
  <w:endnote w:id="5">
    <w:p w:rsidR="0009110F" w:rsidRPr="00F151BB" w:rsidRDefault="0009110F">
      <w:pPr>
        <w:pStyle w:val="EndnoteText"/>
        <w:rPr>
          <w:lang w:val="en-GB"/>
        </w:rPr>
      </w:pPr>
      <w:r>
        <w:rPr>
          <w:rStyle w:val="EndnoteReference"/>
        </w:rPr>
        <w:endnoteRef/>
      </w:r>
      <w:r>
        <w:t xml:space="preserve"> </w:t>
      </w:r>
      <w:hyperlink r:id="rId5" w:history="1">
        <w:r w:rsidRPr="0002236E">
          <w:rPr>
            <w:rStyle w:val="Hyperlink"/>
            <w:rFonts w:asciiTheme="majorHAnsi" w:hAnsiTheme="majorHAnsi"/>
            <w:sz w:val="16"/>
            <w:szCs w:val="16"/>
          </w:rPr>
          <w:t>http://www.telegraph.co.uk/finance/newsbysector/energy/oilandgas/10468111/Chevron-casts-doubt-on-10bn-North-Sea-oil-project.html</w:t>
        </w:r>
      </w:hyperlink>
      <w:r>
        <w:rPr>
          <w:rFonts w:asciiTheme="majorHAnsi" w:hAnsiTheme="majorHAnsi"/>
          <w:sz w:val="16"/>
          <w:szCs w:val="16"/>
        </w:rPr>
        <w:t xml:space="preserve"> </w:t>
      </w:r>
    </w:p>
  </w:endnote>
  <w:endnote w:id="6">
    <w:p w:rsidR="0009110F" w:rsidRPr="00324905" w:rsidRDefault="0009110F" w:rsidP="006B41F7">
      <w:pPr>
        <w:pStyle w:val="FootnoteText"/>
        <w:rPr>
          <w:rFonts w:asciiTheme="majorHAnsi" w:hAnsiTheme="majorHAnsi"/>
          <w:sz w:val="16"/>
          <w:szCs w:val="16"/>
        </w:rPr>
      </w:pPr>
      <w:r>
        <w:rPr>
          <w:rStyle w:val="EndnoteReference"/>
        </w:rPr>
        <w:endnoteRef/>
      </w:r>
      <w:r>
        <w:t xml:space="preserve"> </w:t>
      </w:r>
      <w:r w:rsidRPr="00324905">
        <w:rPr>
          <w:rFonts w:asciiTheme="majorHAnsi" w:hAnsiTheme="majorHAnsi"/>
          <w:sz w:val="16"/>
          <w:szCs w:val="16"/>
        </w:rPr>
        <w:t>Statoil press release, “</w:t>
      </w:r>
      <w:r w:rsidRPr="00324905">
        <w:rPr>
          <w:rFonts w:asciiTheme="majorHAnsi" w:hAnsiTheme="majorHAnsi"/>
          <w:i/>
          <w:sz w:val="16"/>
          <w:szCs w:val="16"/>
        </w:rPr>
        <w:t xml:space="preserve">Need more time for </w:t>
      </w:r>
      <w:proofErr w:type="spellStart"/>
      <w:r w:rsidRPr="00324905">
        <w:rPr>
          <w:rFonts w:asciiTheme="majorHAnsi" w:hAnsiTheme="majorHAnsi"/>
          <w:i/>
          <w:sz w:val="16"/>
          <w:szCs w:val="16"/>
        </w:rPr>
        <w:t>Castberg</w:t>
      </w:r>
      <w:proofErr w:type="spellEnd"/>
      <w:r w:rsidRPr="00324905">
        <w:rPr>
          <w:rFonts w:asciiTheme="majorHAnsi" w:hAnsiTheme="majorHAnsi"/>
          <w:i/>
          <w:sz w:val="16"/>
          <w:szCs w:val="16"/>
        </w:rPr>
        <w:t>”</w:t>
      </w:r>
      <w:r w:rsidRPr="00324905">
        <w:rPr>
          <w:rFonts w:asciiTheme="majorHAnsi" w:hAnsiTheme="majorHAnsi"/>
          <w:sz w:val="16"/>
          <w:szCs w:val="16"/>
        </w:rPr>
        <w:t>, 30 June 2014.</w:t>
      </w:r>
    </w:p>
    <w:p w:rsidR="0009110F" w:rsidRPr="00F151BB" w:rsidRDefault="001E15EF" w:rsidP="006B41F7">
      <w:pPr>
        <w:pStyle w:val="EndnoteText"/>
        <w:rPr>
          <w:lang w:val="en-GB"/>
        </w:rPr>
      </w:pPr>
      <w:hyperlink r:id="rId6" w:history="1">
        <w:r w:rsidR="0009110F" w:rsidRPr="0002236E">
          <w:rPr>
            <w:rStyle w:val="Hyperlink"/>
            <w:rFonts w:asciiTheme="majorHAnsi" w:hAnsiTheme="majorHAnsi"/>
            <w:sz w:val="16"/>
            <w:szCs w:val="16"/>
          </w:rPr>
          <w:t>http://www.statoil.com/en/NewsAndMedia/News/2014/Pages/30Jun_JCmelding.aspx</w:t>
        </w:r>
      </w:hyperlink>
      <w:r w:rsidR="0009110F">
        <w:rPr>
          <w:rFonts w:asciiTheme="majorHAnsi" w:hAnsiTheme="majorHAnsi"/>
          <w:sz w:val="16"/>
          <w:szCs w:val="16"/>
        </w:rPr>
        <w:t xml:space="preserve"> </w:t>
      </w:r>
    </w:p>
  </w:endnote>
  <w:endnote w:id="7">
    <w:p w:rsidR="0009110F" w:rsidRPr="00D1451C" w:rsidRDefault="0009110F" w:rsidP="00430E95">
      <w:pPr>
        <w:pStyle w:val="EndnoteText"/>
        <w:rPr>
          <w:lang w:val="en-GB"/>
        </w:rPr>
      </w:pPr>
      <w:r>
        <w:rPr>
          <w:rStyle w:val="EndnoteReference"/>
        </w:rPr>
        <w:endnoteRef/>
      </w:r>
      <w:r>
        <w:t xml:space="preserve"> </w:t>
      </w:r>
      <w:hyperlink r:id="rId7" w:history="1">
        <w:r w:rsidRPr="00A928CB">
          <w:rPr>
            <w:rStyle w:val="Hyperlink"/>
            <w:rFonts w:ascii="Calibri" w:hAnsi="Calibri"/>
            <w:sz w:val="16"/>
          </w:rPr>
          <w:t>http://www.eia.gov/finance/review/pdf/financial.pdf</w:t>
        </w:r>
      </w:hyperlink>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015" w:rsidRDefault="008A7015" w:rsidP="00754082">
      <w:r>
        <w:separator/>
      </w:r>
    </w:p>
  </w:footnote>
  <w:footnote w:type="continuationSeparator" w:id="0">
    <w:p w:rsidR="008A7015" w:rsidRDefault="008A7015" w:rsidP="00754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3742C"/>
    <w:multiLevelType w:val="hybridMultilevel"/>
    <w:tmpl w:val="3CC4838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3F2524CD"/>
    <w:multiLevelType w:val="hybridMultilevel"/>
    <w:tmpl w:val="0EA8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A805D4"/>
    <w:multiLevelType w:val="hybridMultilevel"/>
    <w:tmpl w:val="7C76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DC6852"/>
    <w:rsid w:val="00054972"/>
    <w:rsid w:val="0005692F"/>
    <w:rsid w:val="000828E8"/>
    <w:rsid w:val="00084568"/>
    <w:rsid w:val="0009110F"/>
    <w:rsid w:val="000C262E"/>
    <w:rsid w:val="000C4234"/>
    <w:rsid w:val="000C6C6F"/>
    <w:rsid w:val="000D0003"/>
    <w:rsid w:val="000E0AAF"/>
    <w:rsid w:val="000E30B7"/>
    <w:rsid w:val="000E43E9"/>
    <w:rsid w:val="0012058C"/>
    <w:rsid w:val="00123333"/>
    <w:rsid w:val="00181593"/>
    <w:rsid w:val="0018218C"/>
    <w:rsid w:val="00183A21"/>
    <w:rsid w:val="001C1427"/>
    <w:rsid w:val="001C7F53"/>
    <w:rsid w:val="001E15EF"/>
    <w:rsid w:val="001F45BF"/>
    <w:rsid w:val="00225372"/>
    <w:rsid w:val="00230029"/>
    <w:rsid w:val="002344CB"/>
    <w:rsid w:val="0024097E"/>
    <w:rsid w:val="00282CFF"/>
    <w:rsid w:val="00293E0A"/>
    <w:rsid w:val="002E799F"/>
    <w:rsid w:val="00314AC0"/>
    <w:rsid w:val="00365082"/>
    <w:rsid w:val="0038786B"/>
    <w:rsid w:val="003952E9"/>
    <w:rsid w:val="003D56EA"/>
    <w:rsid w:val="003E6C1E"/>
    <w:rsid w:val="00405E1D"/>
    <w:rsid w:val="00421F04"/>
    <w:rsid w:val="0042283F"/>
    <w:rsid w:val="00424CAB"/>
    <w:rsid w:val="00430E95"/>
    <w:rsid w:val="0048402C"/>
    <w:rsid w:val="00484157"/>
    <w:rsid w:val="00497FF3"/>
    <w:rsid w:val="004A543C"/>
    <w:rsid w:val="004A7BA8"/>
    <w:rsid w:val="004A7DDE"/>
    <w:rsid w:val="004B4B98"/>
    <w:rsid w:val="004D2B79"/>
    <w:rsid w:val="004F171D"/>
    <w:rsid w:val="0050005C"/>
    <w:rsid w:val="00506B58"/>
    <w:rsid w:val="00531935"/>
    <w:rsid w:val="005341C8"/>
    <w:rsid w:val="0054142E"/>
    <w:rsid w:val="0055047E"/>
    <w:rsid w:val="0056788C"/>
    <w:rsid w:val="00570749"/>
    <w:rsid w:val="005810E1"/>
    <w:rsid w:val="00581C46"/>
    <w:rsid w:val="0059512B"/>
    <w:rsid w:val="005A0449"/>
    <w:rsid w:val="005A6C90"/>
    <w:rsid w:val="005B1840"/>
    <w:rsid w:val="005D5042"/>
    <w:rsid w:val="005E6363"/>
    <w:rsid w:val="00612526"/>
    <w:rsid w:val="0064789E"/>
    <w:rsid w:val="006A2A4A"/>
    <w:rsid w:val="006A4D5B"/>
    <w:rsid w:val="006B41F7"/>
    <w:rsid w:val="006C33F7"/>
    <w:rsid w:val="006D5725"/>
    <w:rsid w:val="00715B1C"/>
    <w:rsid w:val="00754082"/>
    <w:rsid w:val="00757B61"/>
    <w:rsid w:val="00772458"/>
    <w:rsid w:val="00774D09"/>
    <w:rsid w:val="007838FA"/>
    <w:rsid w:val="0079007C"/>
    <w:rsid w:val="007C718E"/>
    <w:rsid w:val="007D16CD"/>
    <w:rsid w:val="007F1D8B"/>
    <w:rsid w:val="0082058E"/>
    <w:rsid w:val="008266F7"/>
    <w:rsid w:val="00833C00"/>
    <w:rsid w:val="00841A52"/>
    <w:rsid w:val="00892692"/>
    <w:rsid w:val="008A47B8"/>
    <w:rsid w:val="008A7015"/>
    <w:rsid w:val="008B0759"/>
    <w:rsid w:val="008B5424"/>
    <w:rsid w:val="008E6360"/>
    <w:rsid w:val="00933FF4"/>
    <w:rsid w:val="00934F97"/>
    <w:rsid w:val="0096278F"/>
    <w:rsid w:val="0097098A"/>
    <w:rsid w:val="009A2D58"/>
    <w:rsid w:val="009A767C"/>
    <w:rsid w:val="009B1627"/>
    <w:rsid w:val="009C5FBB"/>
    <w:rsid w:val="00A14AD8"/>
    <w:rsid w:val="00A16CAF"/>
    <w:rsid w:val="00A24CDF"/>
    <w:rsid w:val="00A3233D"/>
    <w:rsid w:val="00A37D08"/>
    <w:rsid w:val="00A928CB"/>
    <w:rsid w:val="00AA2875"/>
    <w:rsid w:val="00AB2E9A"/>
    <w:rsid w:val="00AE7DDC"/>
    <w:rsid w:val="00AF06C2"/>
    <w:rsid w:val="00AF4389"/>
    <w:rsid w:val="00AF469D"/>
    <w:rsid w:val="00B1775B"/>
    <w:rsid w:val="00B24AB0"/>
    <w:rsid w:val="00B27139"/>
    <w:rsid w:val="00B53B8C"/>
    <w:rsid w:val="00B6335F"/>
    <w:rsid w:val="00B64E68"/>
    <w:rsid w:val="00B7466B"/>
    <w:rsid w:val="00B917B9"/>
    <w:rsid w:val="00BD0219"/>
    <w:rsid w:val="00BD0C96"/>
    <w:rsid w:val="00BF53CB"/>
    <w:rsid w:val="00C0799F"/>
    <w:rsid w:val="00C12F5A"/>
    <w:rsid w:val="00C13EEF"/>
    <w:rsid w:val="00C218E1"/>
    <w:rsid w:val="00C26353"/>
    <w:rsid w:val="00C31E76"/>
    <w:rsid w:val="00C40839"/>
    <w:rsid w:val="00C4242C"/>
    <w:rsid w:val="00C6207E"/>
    <w:rsid w:val="00C64B26"/>
    <w:rsid w:val="00C95372"/>
    <w:rsid w:val="00CA1D27"/>
    <w:rsid w:val="00CB2C01"/>
    <w:rsid w:val="00CB4160"/>
    <w:rsid w:val="00CC5CE8"/>
    <w:rsid w:val="00CD4D99"/>
    <w:rsid w:val="00CE6765"/>
    <w:rsid w:val="00D079E0"/>
    <w:rsid w:val="00D438FB"/>
    <w:rsid w:val="00D43B4B"/>
    <w:rsid w:val="00D45B6A"/>
    <w:rsid w:val="00D72086"/>
    <w:rsid w:val="00DA4319"/>
    <w:rsid w:val="00DA4B2D"/>
    <w:rsid w:val="00DC1EDF"/>
    <w:rsid w:val="00DC6852"/>
    <w:rsid w:val="00DD3F53"/>
    <w:rsid w:val="00DD44A4"/>
    <w:rsid w:val="00DE1CB6"/>
    <w:rsid w:val="00DF3F30"/>
    <w:rsid w:val="00DF7955"/>
    <w:rsid w:val="00E01878"/>
    <w:rsid w:val="00E41892"/>
    <w:rsid w:val="00E752DB"/>
    <w:rsid w:val="00E946A2"/>
    <w:rsid w:val="00EA519E"/>
    <w:rsid w:val="00EB6630"/>
    <w:rsid w:val="00EF62CE"/>
    <w:rsid w:val="00F151BB"/>
    <w:rsid w:val="00F36B30"/>
    <w:rsid w:val="00F42E04"/>
    <w:rsid w:val="00F9772B"/>
    <w:rsid w:val="00FA2145"/>
    <w:rsid w:val="00FD3545"/>
    <w:rsid w:val="00FD4B9C"/>
    <w:rsid w:val="00FD6C18"/>
    <w:rsid w:val="00FE2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5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852"/>
    <w:pPr>
      <w:ind w:left="720"/>
      <w:contextualSpacing/>
    </w:pPr>
  </w:style>
  <w:style w:type="paragraph" w:styleId="Header">
    <w:name w:val="header"/>
    <w:basedOn w:val="Normal"/>
    <w:link w:val="HeaderChar"/>
    <w:uiPriority w:val="99"/>
    <w:unhideWhenUsed/>
    <w:rsid w:val="00754082"/>
    <w:pPr>
      <w:tabs>
        <w:tab w:val="center" w:pos="4320"/>
        <w:tab w:val="right" w:pos="8640"/>
      </w:tabs>
    </w:pPr>
  </w:style>
  <w:style w:type="character" w:customStyle="1" w:styleId="HeaderChar">
    <w:name w:val="Header Char"/>
    <w:basedOn w:val="DefaultParagraphFont"/>
    <w:link w:val="Header"/>
    <w:uiPriority w:val="99"/>
    <w:rsid w:val="00754082"/>
  </w:style>
  <w:style w:type="paragraph" w:styleId="Footer">
    <w:name w:val="footer"/>
    <w:basedOn w:val="Normal"/>
    <w:link w:val="FooterChar"/>
    <w:uiPriority w:val="99"/>
    <w:unhideWhenUsed/>
    <w:rsid w:val="00754082"/>
    <w:pPr>
      <w:tabs>
        <w:tab w:val="center" w:pos="4320"/>
        <w:tab w:val="right" w:pos="8640"/>
      </w:tabs>
    </w:pPr>
  </w:style>
  <w:style w:type="character" w:customStyle="1" w:styleId="FooterChar">
    <w:name w:val="Footer Char"/>
    <w:basedOn w:val="DefaultParagraphFont"/>
    <w:link w:val="Footer"/>
    <w:uiPriority w:val="99"/>
    <w:rsid w:val="00754082"/>
  </w:style>
  <w:style w:type="paragraph" w:styleId="BalloonText">
    <w:name w:val="Balloon Text"/>
    <w:basedOn w:val="Normal"/>
    <w:link w:val="BalloonTextChar"/>
    <w:uiPriority w:val="99"/>
    <w:semiHidden/>
    <w:unhideWhenUsed/>
    <w:rsid w:val="00B271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7139"/>
    <w:rPr>
      <w:rFonts w:ascii="Lucida Grande" w:hAnsi="Lucida Grande" w:cs="Lucida Grande"/>
      <w:sz w:val="18"/>
      <w:szCs w:val="18"/>
    </w:rPr>
  </w:style>
  <w:style w:type="character" w:styleId="CommentReference">
    <w:name w:val="annotation reference"/>
    <w:basedOn w:val="DefaultParagraphFont"/>
    <w:uiPriority w:val="99"/>
    <w:semiHidden/>
    <w:unhideWhenUsed/>
    <w:rsid w:val="009A2D58"/>
    <w:rPr>
      <w:sz w:val="16"/>
      <w:szCs w:val="16"/>
    </w:rPr>
  </w:style>
  <w:style w:type="paragraph" w:styleId="CommentText">
    <w:name w:val="annotation text"/>
    <w:basedOn w:val="Normal"/>
    <w:link w:val="CommentTextChar"/>
    <w:uiPriority w:val="99"/>
    <w:semiHidden/>
    <w:unhideWhenUsed/>
    <w:rsid w:val="009A2D58"/>
    <w:rPr>
      <w:sz w:val="20"/>
      <w:szCs w:val="20"/>
    </w:rPr>
  </w:style>
  <w:style w:type="character" w:customStyle="1" w:styleId="CommentTextChar">
    <w:name w:val="Comment Text Char"/>
    <w:basedOn w:val="DefaultParagraphFont"/>
    <w:link w:val="CommentText"/>
    <w:uiPriority w:val="99"/>
    <w:semiHidden/>
    <w:rsid w:val="009A2D58"/>
    <w:rPr>
      <w:sz w:val="20"/>
      <w:szCs w:val="20"/>
    </w:rPr>
  </w:style>
  <w:style w:type="paragraph" w:styleId="CommentSubject">
    <w:name w:val="annotation subject"/>
    <w:basedOn w:val="CommentText"/>
    <w:next w:val="CommentText"/>
    <w:link w:val="CommentSubjectChar"/>
    <w:uiPriority w:val="99"/>
    <w:semiHidden/>
    <w:unhideWhenUsed/>
    <w:rsid w:val="009A2D58"/>
    <w:rPr>
      <w:b/>
      <w:bCs/>
    </w:rPr>
  </w:style>
  <w:style w:type="character" w:customStyle="1" w:styleId="CommentSubjectChar">
    <w:name w:val="Comment Subject Char"/>
    <w:basedOn w:val="CommentTextChar"/>
    <w:link w:val="CommentSubject"/>
    <w:uiPriority w:val="99"/>
    <w:semiHidden/>
    <w:rsid w:val="009A2D58"/>
    <w:rPr>
      <w:b/>
      <w:bCs/>
      <w:sz w:val="20"/>
      <w:szCs w:val="20"/>
    </w:rPr>
  </w:style>
  <w:style w:type="character" w:styleId="Hyperlink">
    <w:name w:val="Hyperlink"/>
    <w:basedOn w:val="DefaultParagraphFont"/>
    <w:uiPriority w:val="99"/>
    <w:unhideWhenUsed/>
    <w:rsid w:val="00123333"/>
    <w:rPr>
      <w:color w:val="0000FF" w:themeColor="hyperlink"/>
      <w:u w:val="single"/>
    </w:rPr>
  </w:style>
  <w:style w:type="paragraph" w:styleId="FootnoteText">
    <w:name w:val="footnote text"/>
    <w:basedOn w:val="Normal"/>
    <w:link w:val="FootnoteTextChar"/>
    <w:uiPriority w:val="99"/>
    <w:unhideWhenUsed/>
    <w:rsid w:val="00C218E1"/>
    <w:rPr>
      <w:rFonts w:eastAsiaTheme="minorHAnsi"/>
      <w:sz w:val="20"/>
      <w:szCs w:val="20"/>
      <w:lang w:val="en-GB"/>
    </w:rPr>
  </w:style>
  <w:style w:type="character" w:customStyle="1" w:styleId="FootnoteTextChar">
    <w:name w:val="Footnote Text Char"/>
    <w:basedOn w:val="DefaultParagraphFont"/>
    <w:link w:val="FootnoteText"/>
    <w:uiPriority w:val="99"/>
    <w:rsid w:val="00C218E1"/>
    <w:rPr>
      <w:rFonts w:eastAsiaTheme="minorHAnsi"/>
      <w:sz w:val="20"/>
      <w:szCs w:val="20"/>
      <w:lang w:val="en-GB"/>
    </w:rPr>
  </w:style>
  <w:style w:type="character" w:styleId="FootnoteReference">
    <w:name w:val="footnote reference"/>
    <w:basedOn w:val="DefaultParagraphFont"/>
    <w:uiPriority w:val="99"/>
    <w:semiHidden/>
    <w:unhideWhenUsed/>
    <w:rsid w:val="00C218E1"/>
    <w:rPr>
      <w:vertAlign w:val="superscript"/>
    </w:rPr>
  </w:style>
  <w:style w:type="paragraph" w:styleId="EndnoteText">
    <w:name w:val="endnote text"/>
    <w:basedOn w:val="Normal"/>
    <w:link w:val="EndnoteTextChar"/>
    <w:uiPriority w:val="99"/>
    <w:unhideWhenUsed/>
    <w:rsid w:val="006B41F7"/>
    <w:rPr>
      <w:sz w:val="20"/>
      <w:szCs w:val="20"/>
    </w:rPr>
  </w:style>
  <w:style w:type="character" w:customStyle="1" w:styleId="EndnoteTextChar">
    <w:name w:val="Endnote Text Char"/>
    <w:basedOn w:val="DefaultParagraphFont"/>
    <w:link w:val="EndnoteText"/>
    <w:uiPriority w:val="99"/>
    <w:rsid w:val="006B41F7"/>
    <w:rPr>
      <w:sz w:val="20"/>
      <w:szCs w:val="20"/>
    </w:rPr>
  </w:style>
  <w:style w:type="character" w:styleId="EndnoteReference">
    <w:name w:val="endnote reference"/>
    <w:basedOn w:val="DefaultParagraphFont"/>
    <w:uiPriority w:val="99"/>
    <w:semiHidden/>
    <w:unhideWhenUsed/>
    <w:rsid w:val="006B41F7"/>
    <w:rPr>
      <w:vertAlign w:val="superscript"/>
    </w:rPr>
  </w:style>
  <w:style w:type="paragraph" w:styleId="Revision">
    <w:name w:val="Revision"/>
    <w:hidden/>
    <w:uiPriority w:val="99"/>
    <w:semiHidden/>
    <w:rsid w:val="00FD4B9C"/>
  </w:style>
  <w:style w:type="character" w:styleId="FollowedHyperlink">
    <w:name w:val="FollowedHyperlink"/>
    <w:basedOn w:val="DefaultParagraphFont"/>
    <w:uiPriority w:val="99"/>
    <w:semiHidden/>
    <w:unhideWhenUsed/>
    <w:rsid w:val="000C423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852"/>
    <w:pPr>
      <w:ind w:left="720"/>
      <w:contextualSpacing/>
    </w:pPr>
  </w:style>
  <w:style w:type="paragraph" w:styleId="Header">
    <w:name w:val="header"/>
    <w:basedOn w:val="Normal"/>
    <w:link w:val="HeaderChar"/>
    <w:uiPriority w:val="99"/>
    <w:unhideWhenUsed/>
    <w:rsid w:val="00754082"/>
    <w:pPr>
      <w:tabs>
        <w:tab w:val="center" w:pos="4320"/>
        <w:tab w:val="right" w:pos="8640"/>
      </w:tabs>
    </w:pPr>
  </w:style>
  <w:style w:type="character" w:customStyle="1" w:styleId="HeaderChar">
    <w:name w:val="Header Char"/>
    <w:basedOn w:val="DefaultParagraphFont"/>
    <w:link w:val="Header"/>
    <w:uiPriority w:val="99"/>
    <w:rsid w:val="00754082"/>
  </w:style>
  <w:style w:type="paragraph" w:styleId="Footer">
    <w:name w:val="footer"/>
    <w:basedOn w:val="Normal"/>
    <w:link w:val="FooterChar"/>
    <w:uiPriority w:val="99"/>
    <w:unhideWhenUsed/>
    <w:rsid w:val="00754082"/>
    <w:pPr>
      <w:tabs>
        <w:tab w:val="center" w:pos="4320"/>
        <w:tab w:val="right" w:pos="8640"/>
      </w:tabs>
    </w:pPr>
  </w:style>
  <w:style w:type="character" w:customStyle="1" w:styleId="FooterChar">
    <w:name w:val="Footer Char"/>
    <w:basedOn w:val="DefaultParagraphFont"/>
    <w:link w:val="Footer"/>
    <w:uiPriority w:val="99"/>
    <w:rsid w:val="00754082"/>
  </w:style>
  <w:style w:type="paragraph" w:styleId="BalloonText">
    <w:name w:val="Balloon Text"/>
    <w:basedOn w:val="Normal"/>
    <w:link w:val="BalloonTextChar"/>
    <w:uiPriority w:val="99"/>
    <w:semiHidden/>
    <w:unhideWhenUsed/>
    <w:rsid w:val="00B271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7139"/>
    <w:rPr>
      <w:rFonts w:ascii="Lucida Grande" w:hAnsi="Lucida Grande" w:cs="Lucida Grande"/>
      <w:sz w:val="18"/>
      <w:szCs w:val="18"/>
    </w:rPr>
  </w:style>
  <w:style w:type="character" w:styleId="CommentReference">
    <w:name w:val="annotation reference"/>
    <w:basedOn w:val="DefaultParagraphFont"/>
    <w:uiPriority w:val="99"/>
    <w:semiHidden/>
    <w:unhideWhenUsed/>
    <w:rsid w:val="009A2D58"/>
    <w:rPr>
      <w:sz w:val="16"/>
      <w:szCs w:val="16"/>
    </w:rPr>
  </w:style>
  <w:style w:type="paragraph" w:styleId="CommentText">
    <w:name w:val="annotation text"/>
    <w:basedOn w:val="Normal"/>
    <w:link w:val="CommentTextChar"/>
    <w:uiPriority w:val="99"/>
    <w:semiHidden/>
    <w:unhideWhenUsed/>
    <w:rsid w:val="009A2D58"/>
    <w:rPr>
      <w:sz w:val="20"/>
      <w:szCs w:val="20"/>
    </w:rPr>
  </w:style>
  <w:style w:type="character" w:customStyle="1" w:styleId="CommentTextChar">
    <w:name w:val="Comment Text Char"/>
    <w:basedOn w:val="DefaultParagraphFont"/>
    <w:link w:val="CommentText"/>
    <w:uiPriority w:val="99"/>
    <w:semiHidden/>
    <w:rsid w:val="009A2D58"/>
    <w:rPr>
      <w:sz w:val="20"/>
      <w:szCs w:val="20"/>
    </w:rPr>
  </w:style>
  <w:style w:type="paragraph" w:styleId="CommentSubject">
    <w:name w:val="annotation subject"/>
    <w:basedOn w:val="CommentText"/>
    <w:next w:val="CommentText"/>
    <w:link w:val="CommentSubjectChar"/>
    <w:uiPriority w:val="99"/>
    <w:semiHidden/>
    <w:unhideWhenUsed/>
    <w:rsid w:val="009A2D58"/>
    <w:rPr>
      <w:b/>
      <w:bCs/>
    </w:rPr>
  </w:style>
  <w:style w:type="character" w:customStyle="1" w:styleId="CommentSubjectChar">
    <w:name w:val="Comment Subject Char"/>
    <w:basedOn w:val="CommentTextChar"/>
    <w:link w:val="CommentSubject"/>
    <w:uiPriority w:val="99"/>
    <w:semiHidden/>
    <w:rsid w:val="009A2D58"/>
    <w:rPr>
      <w:b/>
      <w:bCs/>
      <w:sz w:val="20"/>
      <w:szCs w:val="20"/>
    </w:rPr>
  </w:style>
  <w:style w:type="character" w:styleId="Hyperlink">
    <w:name w:val="Hyperlink"/>
    <w:basedOn w:val="DefaultParagraphFont"/>
    <w:uiPriority w:val="99"/>
    <w:unhideWhenUsed/>
    <w:rsid w:val="00123333"/>
    <w:rPr>
      <w:color w:val="0000FF" w:themeColor="hyperlink"/>
      <w:u w:val="single"/>
    </w:rPr>
  </w:style>
  <w:style w:type="paragraph" w:styleId="FootnoteText">
    <w:name w:val="footnote text"/>
    <w:basedOn w:val="Normal"/>
    <w:link w:val="FootnoteTextChar"/>
    <w:uiPriority w:val="99"/>
    <w:unhideWhenUsed/>
    <w:rsid w:val="00C218E1"/>
    <w:rPr>
      <w:rFonts w:eastAsiaTheme="minorHAnsi"/>
      <w:sz w:val="20"/>
      <w:szCs w:val="20"/>
      <w:lang w:val="en-GB"/>
    </w:rPr>
  </w:style>
  <w:style w:type="character" w:customStyle="1" w:styleId="FootnoteTextChar">
    <w:name w:val="Footnote Text Char"/>
    <w:basedOn w:val="DefaultParagraphFont"/>
    <w:link w:val="FootnoteText"/>
    <w:uiPriority w:val="99"/>
    <w:rsid w:val="00C218E1"/>
    <w:rPr>
      <w:rFonts w:eastAsiaTheme="minorHAnsi"/>
      <w:sz w:val="20"/>
      <w:szCs w:val="20"/>
      <w:lang w:val="en-GB"/>
    </w:rPr>
  </w:style>
  <w:style w:type="character" w:styleId="FootnoteReference">
    <w:name w:val="footnote reference"/>
    <w:basedOn w:val="DefaultParagraphFont"/>
    <w:uiPriority w:val="99"/>
    <w:semiHidden/>
    <w:unhideWhenUsed/>
    <w:rsid w:val="00C218E1"/>
    <w:rPr>
      <w:vertAlign w:val="superscript"/>
    </w:rPr>
  </w:style>
  <w:style w:type="paragraph" w:styleId="EndnoteText">
    <w:name w:val="endnote text"/>
    <w:basedOn w:val="Normal"/>
    <w:link w:val="EndnoteTextChar"/>
    <w:uiPriority w:val="99"/>
    <w:unhideWhenUsed/>
    <w:rsid w:val="006B41F7"/>
    <w:rPr>
      <w:sz w:val="20"/>
      <w:szCs w:val="20"/>
    </w:rPr>
  </w:style>
  <w:style w:type="character" w:customStyle="1" w:styleId="EndnoteTextChar">
    <w:name w:val="Endnote Text Char"/>
    <w:basedOn w:val="DefaultParagraphFont"/>
    <w:link w:val="EndnoteText"/>
    <w:uiPriority w:val="99"/>
    <w:rsid w:val="006B41F7"/>
    <w:rPr>
      <w:sz w:val="20"/>
      <w:szCs w:val="20"/>
    </w:rPr>
  </w:style>
  <w:style w:type="character" w:styleId="EndnoteReference">
    <w:name w:val="endnote reference"/>
    <w:basedOn w:val="DefaultParagraphFont"/>
    <w:uiPriority w:val="99"/>
    <w:semiHidden/>
    <w:unhideWhenUsed/>
    <w:rsid w:val="006B41F7"/>
    <w:rPr>
      <w:vertAlign w:val="superscript"/>
    </w:rPr>
  </w:style>
  <w:style w:type="paragraph" w:styleId="Revision">
    <w:name w:val="Revision"/>
    <w:hidden/>
    <w:uiPriority w:val="99"/>
    <w:semiHidden/>
    <w:rsid w:val="00FD4B9C"/>
  </w:style>
  <w:style w:type="character" w:styleId="FollowedHyperlink">
    <w:name w:val="FollowedHyperlink"/>
    <w:basedOn w:val="DefaultParagraphFont"/>
    <w:uiPriority w:val="99"/>
    <w:semiHidden/>
    <w:unhideWhenUsed/>
    <w:rsid w:val="000C423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5942311">
      <w:bodyDiv w:val="1"/>
      <w:marLeft w:val="0"/>
      <w:marRight w:val="0"/>
      <w:marTop w:val="0"/>
      <w:marBottom w:val="0"/>
      <w:divBdr>
        <w:top w:val="none" w:sz="0" w:space="0" w:color="auto"/>
        <w:left w:val="none" w:sz="0" w:space="0" w:color="auto"/>
        <w:bottom w:val="none" w:sz="0" w:space="0" w:color="auto"/>
        <w:right w:val="none" w:sz="0" w:space="0" w:color="auto"/>
      </w:divBdr>
    </w:div>
    <w:div w:id="3472978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rbontracker.org/site/capex-factsheets-oil-majors" TargetMode="External"/><Relationship Id="rId4" Type="http://schemas.openxmlformats.org/officeDocument/2006/relationships/settings" Target="settings.xml"/><Relationship Id="rId9" Type="http://schemas.openxmlformats.org/officeDocument/2006/relationships/image" Target="media/image2.emf"/></Relationships>
</file>

<file path=word/_rels/endnotes.xml.rels><?xml version="1.0" encoding="UTF-8" standalone="yes"?>
<Relationships xmlns="http://schemas.openxmlformats.org/package/2006/relationships"><Relationship Id="rId3" Type="http://schemas.openxmlformats.org/officeDocument/2006/relationships/hyperlink" Target="http://business.financialpost.com/2014/02/12/shell-halts-work-on-pierre-river-oil-sands-mine-in-northern-alberta/?__lsa=3d7c-cd43" TargetMode="External"/><Relationship Id="rId7" Type="http://schemas.openxmlformats.org/officeDocument/2006/relationships/hyperlink" Target="http://www.eia.gov/finance/review/pdf/financial.pdf" TargetMode="External"/><Relationship Id="rId2" Type="http://schemas.openxmlformats.org/officeDocument/2006/relationships/hyperlink" Target="http://www.theglobeandmail.com/report-on-business/joslyn/article18914681/" TargetMode="External"/><Relationship Id="rId1" Type="http://schemas.openxmlformats.org/officeDocument/2006/relationships/hyperlink" Target="http://www.carbontracker.org/oil-reports" TargetMode="External"/><Relationship Id="rId6" Type="http://schemas.openxmlformats.org/officeDocument/2006/relationships/hyperlink" Target="http://www.statoil.com/en/NewsAndMedia/News/2014/Pages/30Jun_JCmelding.aspx" TargetMode="External"/><Relationship Id="rId5" Type="http://schemas.openxmlformats.org/officeDocument/2006/relationships/hyperlink" Target="http://www.telegraph.co.uk/finance/newsbysector/energy/oilandgas/10468111/Chevron-casts-doubt-on-10bn-North-Sea-oil-project.html" TargetMode="External"/><Relationship Id="rId4" Type="http://schemas.openxmlformats.org/officeDocument/2006/relationships/hyperlink" Target="http://www.reuters.com/article/2013/09/19/bp-usa-offshore-idUSL2N0HE2V52013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2127C-6053-4E8C-ADB1-8897AF72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Climate Foundation</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Ambrogi</dc:creator>
  <cp:lastModifiedBy>Margherita Gagliardi</cp:lastModifiedBy>
  <cp:revision>3</cp:revision>
  <cp:lastPrinted>2014-08-17T15:53:00Z</cp:lastPrinted>
  <dcterms:created xsi:type="dcterms:W3CDTF">2014-08-14T16:05:00Z</dcterms:created>
  <dcterms:modified xsi:type="dcterms:W3CDTF">2014-08-14T16:06:00Z</dcterms:modified>
</cp:coreProperties>
</file>